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8D47A" w14:textId="14ED058D" w:rsidR="00872A4B" w:rsidRPr="00D120AC" w:rsidRDefault="00DF0366" w:rsidP="00872A4B">
      <w:pPr>
        <w:jc w:val="center"/>
        <w:rPr>
          <w:b/>
          <w:sz w:val="36"/>
          <w:szCs w:val="36"/>
          <w:lang w:val="en-CA"/>
        </w:rPr>
      </w:pPr>
      <w:bookmarkStart w:id="0" w:name="_Hlk116652405"/>
      <w:r>
        <w:rPr>
          <w:b/>
          <w:sz w:val="36"/>
          <w:szCs w:val="36"/>
          <w:lang w:val="en-CA"/>
        </w:rPr>
        <w:t xml:space="preserve">Coupling </w:t>
      </w:r>
      <w:r w:rsidR="00EB3CDA">
        <w:rPr>
          <w:b/>
          <w:sz w:val="36"/>
          <w:szCs w:val="36"/>
          <w:lang w:val="en-CA"/>
        </w:rPr>
        <w:t>P</w:t>
      </w:r>
      <w:r>
        <w:rPr>
          <w:b/>
          <w:sz w:val="36"/>
          <w:szCs w:val="36"/>
          <w:lang w:val="en-CA"/>
        </w:rPr>
        <w:t xml:space="preserve">article </w:t>
      </w:r>
      <w:r w:rsidR="00EB3CDA">
        <w:rPr>
          <w:b/>
          <w:sz w:val="36"/>
          <w:szCs w:val="36"/>
          <w:lang w:val="en-CA"/>
        </w:rPr>
        <w:t>O</w:t>
      </w:r>
      <w:r>
        <w:rPr>
          <w:b/>
          <w:sz w:val="36"/>
          <w:szCs w:val="36"/>
          <w:lang w:val="en-CA"/>
        </w:rPr>
        <w:t>rdering and</w:t>
      </w:r>
      <w:r w:rsidR="003513CD">
        <w:rPr>
          <w:b/>
          <w:sz w:val="36"/>
          <w:szCs w:val="36"/>
          <w:lang w:val="en-CA"/>
        </w:rPr>
        <w:t xml:space="preserve"> </w:t>
      </w:r>
      <w:r w:rsidR="00EB3CDA">
        <w:rPr>
          <w:b/>
          <w:sz w:val="36"/>
          <w:szCs w:val="36"/>
          <w:lang w:val="en-CA"/>
        </w:rPr>
        <w:t>S</w:t>
      </w:r>
      <w:r>
        <w:rPr>
          <w:b/>
          <w:sz w:val="36"/>
          <w:szCs w:val="36"/>
          <w:lang w:val="en-CA"/>
        </w:rPr>
        <w:t xml:space="preserve">pherulitic </w:t>
      </w:r>
      <w:r w:rsidR="00EB3CDA">
        <w:rPr>
          <w:b/>
          <w:sz w:val="36"/>
          <w:szCs w:val="36"/>
          <w:lang w:val="en-CA"/>
        </w:rPr>
        <w:t>G</w:t>
      </w:r>
      <w:r>
        <w:rPr>
          <w:b/>
          <w:sz w:val="36"/>
          <w:szCs w:val="36"/>
          <w:lang w:val="en-CA"/>
        </w:rPr>
        <w:t xml:space="preserve">rowth to the </w:t>
      </w:r>
      <w:r w:rsidR="00EB3CDA">
        <w:rPr>
          <w:b/>
          <w:sz w:val="36"/>
          <w:szCs w:val="36"/>
          <w:lang w:val="en-CA"/>
        </w:rPr>
        <w:t>L</w:t>
      </w:r>
      <w:r>
        <w:rPr>
          <w:b/>
          <w:sz w:val="36"/>
          <w:szCs w:val="36"/>
          <w:lang w:val="en-CA"/>
        </w:rPr>
        <w:t>ong-</w:t>
      </w:r>
      <w:r w:rsidR="00EB3CDA">
        <w:rPr>
          <w:b/>
          <w:sz w:val="36"/>
          <w:szCs w:val="36"/>
          <w:lang w:val="en-CA"/>
        </w:rPr>
        <w:t>T</w:t>
      </w:r>
      <w:r>
        <w:rPr>
          <w:b/>
          <w:sz w:val="36"/>
          <w:szCs w:val="36"/>
          <w:lang w:val="en-CA"/>
        </w:rPr>
        <w:t xml:space="preserve">erm </w:t>
      </w:r>
      <w:r w:rsidR="00EB3CDA">
        <w:rPr>
          <w:b/>
          <w:sz w:val="36"/>
          <w:szCs w:val="36"/>
          <w:lang w:val="en-CA"/>
        </w:rPr>
        <w:t>P</w:t>
      </w:r>
      <w:r>
        <w:rPr>
          <w:b/>
          <w:sz w:val="36"/>
          <w:szCs w:val="36"/>
          <w:lang w:val="en-CA"/>
        </w:rPr>
        <w:t xml:space="preserve">erformance of </w:t>
      </w:r>
      <w:r w:rsidR="00EB3CDA">
        <w:rPr>
          <w:b/>
          <w:sz w:val="36"/>
          <w:szCs w:val="36"/>
          <w:lang w:val="en-CA"/>
        </w:rPr>
        <w:t>N</w:t>
      </w:r>
      <w:r w:rsidRPr="00D120AC">
        <w:rPr>
          <w:b/>
          <w:sz w:val="36"/>
          <w:szCs w:val="36"/>
          <w:lang w:val="en-CA"/>
        </w:rPr>
        <w:t>anocellulose</w:t>
      </w:r>
      <w:r w:rsidR="002F7D8A">
        <w:rPr>
          <w:b/>
          <w:sz w:val="36"/>
          <w:szCs w:val="36"/>
          <w:lang w:val="en-CA"/>
        </w:rPr>
        <w:t>/</w:t>
      </w:r>
      <w:r w:rsidR="00EB3CDA">
        <w:rPr>
          <w:b/>
          <w:sz w:val="36"/>
          <w:szCs w:val="36"/>
          <w:lang w:val="en-CA"/>
        </w:rPr>
        <w:t>P</w:t>
      </w:r>
      <w:r w:rsidR="002F7D8A">
        <w:rPr>
          <w:b/>
          <w:sz w:val="36"/>
          <w:szCs w:val="36"/>
          <w:lang w:val="en-CA"/>
        </w:rPr>
        <w:t>oly</w:t>
      </w:r>
      <w:r w:rsidR="00902C73">
        <w:rPr>
          <w:b/>
          <w:sz w:val="36"/>
          <w:szCs w:val="36"/>
          <w:lang w:val="en-CA"/>
        </w:rPr>
        <w:t xml:space="preserve"> (</w:t>
      </w:r>
      <w:r w:rsidR="00EB3CDA">
        <w:rPr>
          <w:b/>
          <w:sz w:val="36"/>
          <w:szCs w:val="36"/>
          <w:lang w:val="en-CA"/>
        </w:rPr>
        <w:t>E</w:t>
      </w:r>
      <w:r w:rsidR="002F7D8A">
        <w:rPr>
          <w:b/>
          <w:sz w:val="36"/>
          <w:szCs w:val="36"/>
          <w:lang w:val="en-CA"/>
        </w:rPr>
        <w:t>thylene</w:t>
      </w:r>
      <w:r w:rsidR="00902C73">
        <w:rPr>
          <w:b/>
          <w:sz w:val="36"/>
          <w:szCs w:val="36"/>
          <w:lang w:val="en-CA"/>
        </w:rPr>
        <w:t xml:space="preserve"> </w:t>
      </w:r>
      <w:r w:rsidR="00EB3CDA">
        <w:rPr>
          <w:b/>
          <w:sz w:val="36"/>
          <w:szCs w:val="36"/>
          <w:lang w:val="en-CA"/>
        </w:rPr>
        <w:t>O</w:t>
      </w:r>
      <w:r w:rsidR="002F7D8A">
        <w:rPr>
          <w:b/>
          <w:sz w:val="36"/>
          <w:szCs w:val="36"/>
          <w:lang w:val="en-CA"/>
        </w:rPr>
        <w:t>xide</w:t>
      </w:r>
      <w:r w:rsidR="00902C73">
        <w:rPr>
          <w:b/>
          <w:sz w:val="36"/>
          <w:szCs w:val="36"/>
          <w:lang w:val="en-CA"/>
        </w:rPr>
        <w:t>)</w:t>
      </w:r>
      <w:r w:rsidR="003513CD" w:rsidRPr="00D120AC">
        <w:rPr>
          <w:b/>
          <w:sz w:val="36"/>
          <w:szCs w:val="36"/>
          <w:lang w:val="en-CA"/>
        </w:rPr>
        <w:t xml:space="preserve"> </w:t>
      </w:r>
      <w:r w:rsidR="00EB3CDA">
        <w:rPr>
          <w:b/>
          <w:sz w:val="36"/>
          <w:szCs w:val="36"/>
          <w:lang w:val="en-CA"/>
        </w:rPr>
        <w:t>E</w:t>
      </w:r>
      <w:r w:rsidR="00872A4B" w:rsidRPr="00D120AC">
        <w:rPr>
          <w:b/>
          <w:sz w:val="36"/>
          <w:szCs w:val="36"/>
          <w:lang w:val="en-CA"/>
        </w:rPr>
        <w:t>lectrolyte</w:t>
      </w:r>
      <w:r>
        <w:rPr>
          <w:b/>
          <w:sz w:val="36"/>
          <w:szCs w:val="36"/>
          <w:lang w:val="en-CA"/>
        </w:rPr>
        <w:t>s</w:t>
      </w:r>
    </w:p>
    <w:bookmarkEnd w:id="0"/>
    <w:p w14:paraId="517C3C43" w14:textId="77777777" w:rsidR="00872A4B" w:rsidRPr="00D120AC" w:rsidRDefault="00872A4B" w:rsidP="00872A4B">
      <w:pPr>
        <w:rPr>
          <w:b/>
          <w:sz w:val="36"/>
          <w:szCs w:val="36"/>
          <w:lang w:val="en-CA"/>
        </w:rPr>
      </w:pPr>
    </w:p>
    <w:p w14:paraId="2620BE6B" w14:textId="34B4D30A" w:rsidR="00872A4B" w:rsidRPr="003A2D53" w:rsidRDefault="00872A4B" w:rsidP="00872A4B">
      <w:pPr>
        <w:rPr>
          <w:vertAlign w:val="superscript"/>
          <w:lang w:val="en-CA"/>
        </w:rPr>
      </w:pPr>
      <w:r w:rsidRPr="003A2D53">
        <w:rPr>
          <w:lang w:val="en-CA"/>
        </w:rPr>
        <w:t>Gleb Bobrov</w:t>
      </w:r>
      <w:r w:rsidR="00204E3E">
        <w:rPr>
          <w:lang w:val="en-CA"/>
        </w:rPr>
        <w:t xml:space="preserve"> </w:t>
      </w:r>
      <w:r w:rsidR="00204E3E" w:rsidRPr="00204E3E">
        <w:rPr>
          <w:vertAlign w:val="superscript"/>
          <w:lang w:val="en-CA"/>
        </w:rPr>
        <w:t>a</w:t>
      </w:r>
      <w:r w:rsidRPr="003A2D53">
        <w:rPr>
          <w:lang w:val="en-CA"/>
        </w:rPr>
        <w:t>, Stephanie A. Kedzio</w:t>
      </w:r>
      <w:r w:rsidR="00864DAC" w:rsidRPr="003A2D53">
        <w:rPr>
          <w:lang w:val="en-CA"/>
        </w:rPr>
        <w:t>r</w:t>
      </w:r>
      <w:r w:rsidR="00204E3E" w:rsidRPr="00204E3E">
        <w:rPr>
          <w:vertAlign w:val="superscript"/>
          <w:lang w:val="en-CA"/>
        </w:rPr>
        <w:t xml:space="preserve"> a</w:t>
      </w:r>
      <w:r w:rsidRPr="003A2D53">
        <w:rPr>
          <w:lang w:val="en-CA"/>
        </w:rPr>
        <w:t>, Syed Atif Pervez</w:t>
      </w:r>
      <w:r w:rsidR="00204E3E">
        <w:rPr>
          <w:lang w:val="en-CA"/>
        </w:rPr>
        <w:t xml:space="preserve"> </w:t>
      </w:r>
      <w:r w:rsidR="00204E3E">
        <w:rPr>
          <w:vertAlign w:val="superscript"/>
          <w:lang w:val="en-CA"/>
        </w:rPr>
        <w:t>b</w:t>
      </w:r>
      <w:r w:rsidRPr="003A2D53">
        <w:rPr>
          <w:lang w:val="en-CA"/>
        </w:rPr>
        <w:t>, Aleksandra Govedaric</w:t>
      </w:r>
      <w:r w:rsidR="00864DAC" w:rsidRPr="003A2D53">
        <w:rPr>
          <w:lang w:val="en-CA"/>
        </w:rPr>
        <w:t>a</w:t>
      </w:r>
      <w:r w:rsidR="00204E3E" w:rsidRPr="00204E3E">
        <w:rPr>
          <w:vertAlign w:val="superscript"/>
          <w:lang w:val="en-CA"/>
        </w:rPr>
        <w:t xml:space="preserve"> a</w:t>
      </w:r>
      <w:r w:rsidRPr="003A2D53">
        <w:rPr>
          <w:lang w:val="en-CA"/>
        </w:rPr>
        <w:t xml:space="preserve">, Gabriele </w:t>
      </w:r>
      <w:proofErr w:type="spellStart"/>
      <w:r w:rsidRPr="003A2D53">
        <w:rPr>
          <w:lang w:val="en-CA"/>
        </w:rPr>
        <w:t>Kloker</w:t>
      </w:r>
      <w:proofErr w:type="spellEnd"/>
      <w:r w:rsidR="00204E3E">
        <w:rPr>
          <w:lang w:val="en-CA"/>
        </w:rPr>
        <w:t xml:space="preserve"> </w:t>
      </w:r>
      <w:r w:rsidR="00204E3E">
        <w:rPr>
          <w:vertAlign w:val="superscript"/>
          <w:lang w:val="en-CA"/>
        </w:rPr>
        <w:t>b</w:t>
      </w:r>
      <w:r w:rsidRPr="003A2D53">
        <w:rPr>
          <w:lang w:val="en-CA"/>
        </w:rPr>
        <w:t xml:space="preserve">, Maximilian </w:t>
      </w:r>
      <w:proofErr w:type="spellStart"/>
      <w:r w:rsidRPr="003A2D53">
        <w:rPr>
          <w:lang w:val="en-CA"/>
        </w:rPr>
        <w:t>Fichtner</w:t>
      </w:r>
      <w:proofErr w:type="spellEnd"/>
      <w:r w:rsidR="00204E3E">
        <w:rPr>
          <w:lang w:val="en-CA"/>
        </w:rPr>
        <w:t xml:space="preserve"> </w:t>
      </w:r>
      <w:r w:rsidR="00204E3E">
        <w:rPr>
          <w:vertAlign w:val="superscript"/>
          <w:lang w:val="en-CA"/>
        </w:rPr>
        <w:t>b</w:t>
      </w:r>
      <w:r w:rsidRPr="003A2D53">
        <w:rPr>
          <w:lang w:val="en-CA"/>
        </w:rPr>
        <w:t>, Vladimir K. Michaelis</w:t>
      </w:r>
      <w:r w:rsidR="00204E3E">
        <w:rPr>
          <w:lang w:val="en-CA"/>
        </w:rPr>
        <w:t xml:space="preserve"> </w:t>
      </w:r>
      <w:r w:rsidR="00204E3E">
        <w:rPr>
          <w:vertAlign w:val="superscript"/>
          <w:lang w:val="en-CA"/>
        </w:rPr>
        <w:t>c</w:t>
      </w:r>
      <w:r w:rsidRPr="003A2D53">
        <w:rPr>
          <w:lang w:val="en-CA"/>
        </w:rPr>
        <w:t>, Guy M. Bernard</w:t>
      </w:r>
      <w:r w:rsidR="00204E3E">
        <w:rPr>
          <w:lang w:val="en-CA"/>
        </w:rPr>
        <w:t xml:space="preserve"> </w:t>
      </w:r>
      <w:r w:rsidR="00204E3E">
        <w:rPr>
          <w:vertAlign w:val="superscript"/>
          <w:lang w:val="en-CA"/>
        </w:rPr>
        <w:t>c</w:t>
      </w:r>
      <w:r w:rsidRPr="003A2D53">
        <w:rPr>
          <w:lang w:val="en-CA"/>
        </w:rPr>
        <w:t xml:space="preserve">, </w:t>
      </w:r>
      <w:r w:rsidR="001712EE" w:rsidRPr="003A2D53">
        <w:rPr>
          <w:lang w:val="en-CA"/>
        </w:rPr>
        <w:t>Philipp M. Veelken</w:t>
      </w:r>
      <w:r w:rsidR="00204E3E">
        <w:rPr>
          <w:lang w:val="en-CA"/>
        </w:rPr>
        <w:t xml:space="preserve"> </w:t>
      </w:r>
      <w:proofErr w:type="spellStart"/>
      <w:proofErr w:type="gramStart"/>
      <w:r w:rsidR="00204E3E">
        <w:rPr>
          <w:vertAlign w:val="superscript"/>
          <w:lang w:val="en-CA"/>
        </w:rPr>
        <w:t>d</w:t>
      </w:r>
      <w:r w:rsidR="001E74E1">
        <w:rPr>
          <w:vertAlign w:val="superscript"/>
          <w:lang w:val="en-CA"/>
        </w:rPr>
        <w:t>,e</w:t>
      </w:r>
      <w:proofErr w:type="spellEnd"/>
      <w:proofErr w:type="gramEnd"/>
      <w:r w:rsidR="001712EE" w:rsidRPr="003A2D53">
        <w:rPr>
          <w:lang w:val="en-CA"/>
        </w:rPr>
        <w:t>, Florian Hausen</w:t>
      </w:r>
      <w:r w:rsidR="00204E3E">
        <w:rPr>
          <w:lang w:val="en-CA"/>
        </w:rPr>
        <w:t xml:space="preserve"> </w:t>
      </w:r>
      <w:proofErr w:type="spellStart"/>
      <w:r w:rsidR="00204E3E">
        <w:rPr>
          <w:vertAlign w:val="superscript"/>
          <w:lang w:val="en-CA"/>
        </w:rPr>
        <w:t>d</w:t>
      </w:r>
      <w:r w:rsidR="001E74E1">
        <w:rPr>
          <w:vertAlign w:val="superscript"/>
          <w:lang w:val="en-CA"/>
        </w:rPr>
        <w:t>,e</w:t>
      </w:r>
      <w:proofErr w:type="spellEnd"/>
      <w:r w:rsidR="001712EE" w:rsidRPr="003A2D53">
        <w:rPr>
          <w:lang w:val="en-CA"/>
        </w:rPr>
        <w:t xml:space="preserve">, </w:t>
      </w:r>
      <w:proofErr w:type="spellStart"/>
      <w:r w:rsidRPr="003A2D53">
        <w:rPr>
          <w:lang w:val="en-CA"/>
        </w:rPr>
        <w:t>Milana</w:t>
      </w:r>
      <w:proofErr w:type="spellEnd"/>
      <w:r w:rsidRPr="003A2D53">
        <w:rPr>
          <w:lang w:val="en-CA"/>
        </w:rPr>
        <w:t xml:space="preserve"> </w:t>
      </w:r>
      <w:proofErr w:type="spellStart"/>
      <w:r w:rsidRPr="003A2D53">
        <w:rPr>
          <w:lang w:val="en-CA"/>
        </w:rPr>
        <w:t>Trifkovi</w:t>
      </w:r>
      <w:r w:rsidR="00864DAC" w:rsidRPr="003A2D53">
        <w:rPr>
          <w:lang w:val="en-CA"/>
        </w:rPr>
        <w:t>c</w:t>
      </w:r>
      <w:proofErr w:type="spellEnd"/>
      <w:r w:rsidR="00204E3E" w:rsidRPr="00204E3E">
        <w:rPr>
          <w:vertAlign w:val="superscript"/>
          <w:lang w:val="en-CA"/>
        </w:rPr>
        <w:t xml:space="preserve"> a</w:t>
      </w:r>
      <w:r w:rsidRPr="003A2D53">
        <w:rPr>
          <w:vertAlign w:val="superscript"/>
          <w:lang w:val="en-CA"/>
        </w:rPr>
        <w:t>*</w:t>
      </w:r>
    </w:p>
    <w:p w14:paraId="6DDC16BF" w14:textId="58E86218" w:rsidR="00864DAC" w:rsidRDefault="00864DAC" w:rsidP="00872A4B">
      <w:pPr>
        <w:rPr>
          <w:i/>
          <w:iCs/>
          <w:lang w:val="en-CA"/>
        </w:rPr>
      </w:pPr>
    </w:p>
    <w:p w14:paraId="0801C11C" w14:textId="48764FCD" w:rsidR="00204E3E" w:rsidRDefault="00204E3E" w:rsidP="00204E3E">
      <w:pPr>
        <w:rPr>
          <w:i/>
          <w:iCs/>
          <w:lang w:val="en-CA"/>
        </w:rPr>
      </w:pPr>
      <w:r w:rsidRPr="00204E3E">
        <w:rPr>
          <w:i/>
          <w:iCs/>
          <w:vertAlign w:val="superscript"/>
          <w:lang w:val="en-CA"/>
        </w:rPr>
        <w:t>a</w:t>
      </w:r>
      <w:r>
        <w:rPr>
          <w:i/>
          <w:iCs/>
          <w:lang w:val="en-CA"/>
        </w:rPr>
        <w:t xml:space="preserve"> </w:t>
      </w:r>
      <w:r w:rsidRPr="007A4F96">
        <w:rPr>
          <w:i/>
          <w:iCs/>
          <w:lang w:val="en-CA"/>
        </w:rPr>
        <w:t>Department of Chemical and Petroleum Engineering, University of Calgary, 2500 University Dr NW, Calgary, AB, T2N 1N4, Canada</w:t>
      </w:r>
    </w:p>
    <w:p w14:paraId="702BBB3D" w14:textId="1A2904FD" w:rsidR="00204E3E" w:rsidRPr="008112B8" w:rsidRDefault="00204E3E" w:rsidP="00204E3E">
      <w:pPr>
        <w:rPr>
          <w:i/>
          <w:iCs/>
          <w:lang w:val="de-DE"/>
        </w:rPr>
      </w:pPr>
      <w:r w:rsidRPr="008112B8">
        <w:rPr>
          <w:i/>
          <w:iCs/>
          <w:vertAlign w:val="superscript"/>
          <w:lang w:val="de-DE"/>
        </w:rPr>
        <w:t>b</w:t>
      </w:r>
      <w:r w:rsidRPr="008112B8">
        <w:rPr>
          <w:i/>
          <w:iCs/>
          <w:lang w:val="de-DE"/>
        </w:rPr>
        <w:t xml:space="preserve"> Helmholtz Institute Ulm, </w:t>
      </w:r>
      <w:proofErr w:type="spellStart"/>
      <w:r w:rsidRPr="008112B8">
        <w:rPr>
          <w:i/>
          <w:iCs/>
          <w:lang w:val="de-DE"/>
        </w:rPr>
        <w:t>Helmholtzstraße</w:t>
      </w:r>
      <w:proofErr w:type="spellEnd"/>
      <w:r w:rsidRPr="008112B8">
        <w:rPr>
          <w:i/>
          <w:iCs/>
          <w:lang w:val="de-DE"/>
        </w:rPr>
        <w:t xml:space="preserve"> 11, Ulm, 89081, Germany</w:t>
      </w:r>
    </w:p>
    <w:p w14:paraId="1C38E4A8" w14:textId="0883A011" w:rsidR="00204E3E" w:rsidRPr="007A4F96" w:rsidRDefault="00204E3E" w:rsidP="00204E3E">
      <w:pPr>
        <w:rPr>
          <w:i/>
          <w:iCs/>
          <w:lang w:val="en-CA"/>
        </w:rPr>
      </w:pPr>
      <w:r w:rsidRPr="00204E3E">
        <w:rPr>
          <w:i/>
          <w:iCs/>
          <w:vertAlign w:val="superscript"/>
          <w:lang w:val="en-CA"/>
        </w:rPr>
        <w:t>c</w:t>
      </w:r>
      <w:r>
        <w:rPr>
          <w:i/>
          <w:iCs/>
          <w:lang w:val="en-CA"/>
        </w:rPr>
        <w:t xml:space="preserve"> </w:t>
      </w:r>
      <w:r w:rsidRPr="007A4F96">
        <w:rPr>
          <w:i/>
          <w:iCs/>
          <w:lang w:val="en-CA"/>
        </w:rPr>
        <w:t>Faculty of Science – Chemistry, University of Alberta, 11227 Saskatchewan Drive NW, Edmonton, AB, T6G 2G2, Canada</w:t>
      </w:r>
    </w:p>
    <w:p w14:paraId="5BD41464" w14:textId="3C7CA9E8" w:rsidR="00204E3E" w:rsidRPr="005416DE" w:rsidRDefault="00204E3E" w:rsidP="00204E3E">
      <w:pPr>
        <w:rPr>
          <w:i/>
          <w:iCs/>
          <w:lang w:val="en-CA"/>
        </w:rPr>
      </w:pPr>
      <w:r w:rsidRPr="00204E3E">
        <w:rPr>
          <w:i/>
          <w:iCs/>
          <w:vertAlign w:val="superscript"/>
          <w:lang w:val="en-CA"/>
        </w:rPr>
        <w:t>d</w:t>
      </w:r>
      <w:r>
        <w:rPr>
          <w:i/>
          <w:iCs/>
          <w:lang w:val="en-CA"/>
        </w:rPr>
        <w:t xml:space="preserve"> </w:t>
      </w:r>
      <w:r w:rsidRPr="007A4F96">
        <w:rPr>
          <w:i/>
          <w:iCs/>
          <w:lang w:val="en-CA"/>
        </w:rPr>
        <w:t>Institute of Energy and Climate Research, IEK9</w:t>
      </w:r>
      <w:r w:rsidRPr="005416DE">
        <w:rPr>
          <w:i/>
          <w:iCs/>
          <w:lang w:val="en-CA"/>
        </w:rPr>
        <w:t xml:space="preserve">, </w:t>
      </w:r>
      <w:proofErr w:type="spellStart"/>
      <w:r w:rsidR="00234CA4" w:rsidRPr="005416DE">
        <w:rPr>
          <w:i/>
          <w:iCs/>
          <w:lang w:val="en-CA"/>
        </w:rPr>
        <w:t>Forschungszentrum</w:t>
      </w:r>
      <w:proofErr w:type="spellEnd"/>
      <w:r w:rsidRPr="005416DE">
        <w:rPr>
          <w:i/>
          <w:iCs/>
          <w:lang w:val="en-CA"/>
        </w:rPr>
        <w:t xml:space="preserve"> </w:t>
      </w:r>
      <w:proofErr w:type="spellStart"/>
      <w:r w:rsidRPr="005416DE">
        <w:rPr>
          <w:i/>
          <w:iCs/>
          <w:lang w:val="en-CA"/>
        </w:rPr>
        <w:t>Juelich</w:t>
      </w:r>
      <w:proofErr w:type="spellEnd"/>
      <w:r w:rsidRPr="005416DE">
        <w:rPr>
          <w:i/>
          <w:iCs/>
          <w:lang w:val="en-CA"/>
        </w:rPr>
        <w:t xml:space="preserve">, </w:t>
      </w:r>
      <w:proofErr w:type="spellStart"/>
      <w:r w:rsidRPr="005416DE">
        <w:rPr>
          <w:i/>
          <w:iCs/>
          <w:lang w:val="en-CA"/>
        </w:rPr>
        <w:t>Juelich</w:t>
      </w:r>
      <w:proofErr w:type="spellEnd"/>
      <w:r w:rsidRPr="005416DE">
        <w:rPr>
          <w:i/>
          <w:iCs/>
          <w:lang w:val="en-CA"/>
        </w:rPr>
        <w:t>, 52425, Germany</w:t>
      </w:r>
    </w:p>
    <w:p w14:paraId="158EEDFE" w14:textId="647D2EB2" w:rsidR="00234CA4" w:rsidRPr="005416DE" w:rsidRDefault="00234CA4" w:rsidP="00204E3E">
      <w:pPr>
        <w:rPr>
          <w:i/>
          <w:iCs/>
          <w:lang w:val="en-CA"/>
        </w:rPr>
      </w:pPr>
      <w:r w:rsidRPr="005416DE">
        <w:rPr>
          <w:i/>
          <w:iCs/>
          <w:vertAlign w:val="superscript"/>
          <w:lang w:val="en-CA"/>
        </w:rPr>
        <w:t>e</w:t>
      </w:r>
      <w:r w:rsidRPr="005416DE">
        <w:rPr>
          <w:i/>
          <w:iCs/>
          <w:lang w:val="en-CA"/>
        </w:rPr>
        <w:t xml:space="preserve"> Institute of Physical Chemistry, RWTH Aachen University, </w:t>
      </w:r>
      <w:proofErr w:type="spellStart"/>
      <w:r w:rsidR="00303B4C" w:rsidRPr="005416DE">
        <w:rPr>
          <w:i/>
          <w:iCs/>
          <w:lang w:val="en-CA"/>
        </w:rPr>
        <w:t>Landoltweg</w:t>
      </w:r>
      <w:proofErr w:type="spellEnd"/>
      <w:r w:rsidR="00303B4C" w:rsidRPr="005416DE">
        <w:rPr>
          <w:i/>
          <w:iCs/>
          <w:lang w:val="en-CA"/>
        </w:rPr>
        <w:t xml:space="preserve"> 2, </w:t>
      </w:r>
      <w:r w:rsidRPr="005416DE">
        <w:rPr>
          <w:i/>
          <w:iCs/>
          <w:lang w:val="en-CA"/>
        </w:rPr>
        <w:t>Aachen, 52074</w:t>
      </w:r>
      <w:r w:rsidR="00303B4C" w:rsidRPr="005416DE">
        <w:rPr>
          <w:i/>
          <w:iCs/>
          <w:lang w:val="en-CA"/>
        </w:rPr>
        <w:t>,</w:t>
      </w:r>
      <w:r w:rsidRPr="005416DE">
        <w:rPr>
          <w:i/>
          <w:iCs/>
          <w:lang w:val="en-CA"/>
        </w:rPr>
        <w:t xml:space="preserve"> Germany</w:t>
      </w:r>
    </w:p>
    <w:p w14:paraId="4BB672AF" w14:textId="77777777" w:rsidR="00204E3E" w:rsidRPr="005416DE" w:rsidRDefault="00204E3E" w:rsidP="00204E3E">
      <w:pPr>
        <w:rPr>
          <w:i/>
          <w:iCs/>
          <w:lang w:val="en-CA"/>
        </w:rPr>
      </w:pPr>
    </w:p>
    <w:p w14:paraId="465A1169" w14:textId="721F15E5" w:rsidR="00204E3E" w:rsidRPr="00204E3E" w:rsidRDefault="00204E3E" w:rsidP="00204E3E">
      <w:pPr>
        <w:rPr>
          <w:lang w:val="en-CA"/>
        </w:rPr>
      </w:pPr>
      <w:r w:rsidRPr="005416DE">
        <w:rPr>
          <w:lang w:val="en-CA"/>
        </w:rPr>
        <w:t>*Email: mtrifkov@ucalgary.ca</w:t>
      </w:r>
    </w:p>
    <w:p w14:paraId="29E29353" w14:textId="77777777" w:rsidR="00204E3E" w:rsidRPr="00D120AC" w:rsidRDefault="00204E3E" w:rsidP="00872A4B">
      <w:pPr>
        <w:rPr>
          <w:i/>
          <w:iCs/>
          <w:lang w:val="en-CA"/>
        </w:rPr>
      </w:pPr>
    </w:p>
    <w:p w14:paraId="29E59476" w14:textId="77777777" w:rsidR="00872A4B" w:rsidRPr="00D120AC" w:rsidRDefault="00872A4B" w:rsidP="00872A4B">
      <w:pPr>
        <w:rPr>
          <w:lang w:val="en-CA"/>
        </w:rPr>
      </w:pPr>
    </w:p>
    <w:p w14:paraId="677D3F38" w14:textId="33DAFD58" w:rsidR="00872A4B" w:rsidRPr="00D120AC" w:rsidRDefault="00872A4B" w:rsidP="00330B46">
      <w:pPr>
        <w:autoSpaceDE w:val="0"/>
        <w:autoSpaceDN w:val="0"/>
        <w:adjustRightInd w:val="0"/>
        <w:spacing w:line="360" w:lineRule="auto"/>
        <w:rPr>
          <w:lang w:val="en-CA"/>
        </w:rPr>
        <w:sectPr w:rsidR="00872A4B" w:rsidRPr="00D120AC" w:rsidSect="00872A4B">
          <w:footerReference w:type="default" r:id="rId12"/>
          <w:type w:val="continuous"/>
          <w:pgSz w:w="12240" w:h="15840"/>
          <w:pgMar w:top="1440" w:right="1440" w:bottom="1440" w:left="1440" w:header="708" w:footer="708" w:gutter="0"/>
          <w:cols w:space="708"/>
          <w:docGrid w:linePitch="360"/>
        </w:sectPr>
      </w:pPr>
    </w:p>
    <w:p w14:paraId="4AEF24B4" w14:textId="77777777" w:rsidR="00872A4B" w:rsidRPr="00D120AC" w:rsidRDefault="00872A4B" w:rsidP="00872A4B">
      <w:pPr>
        <w:pStyle w:val="berschrift1"/>
        <w:numPr>
          <w:ilvl w:val="0"/>
          <w:numId w:val="0"/>
        </w:numPr>
        <w:ind w:left="432" w:hanging="432"/>
      </w:pPr>
      <w:r w:rsidRPr="00D120AC">
        <w:lastRenderedPageBreak/>
        <w:t>Abstract</w:t>
      </w:r>
    </w:p>
    <w:p w14:paraId="16F15DCA" w14:textId="2D2E9057" w:rsidR="00F400FF" w:rsidRDefault="00F400FF" w:rsidP="00F400FF">
      <w:pPr>
        <w:autoSpaceDE w:val="0"/>
        <w:autoSpaceDN w:val="0"/>
        <w:adjustRightInd w:val="0"/>
        <w:spacing w:line="480" w:lineRule="auto"/>
        <w:ind w:firstLine="720"/>
        <w:contextualSpacing/>
        <w:rPr>
          <w:bCs/>
          <w:lang w:val="en-CA"/>
        </w:rPr>
      </w:pPr>
      <w:r w:rsidRPr="00327C76">
        <w:rPr>
          <w:bCs/>
          <w:lang w:val="en-CA"/>
        </w:rPr>
        <w:t>Development of lithium-ion batteries with composite solid polymer electrolytes (CPSEs) have attracted attention due to their higher energy density and improved safety compared to systems utilizing liquid electrolytes. While it is well known that the microstructure of CPSEs affects the ionic conductivity, thermal stability as</w:t>
      </w:r>
      <w:r w:rsidRPr="006A0A7B">
        <w:rPr>
          <w:bCs/>
          <w:lang w:val="en-CA"/>
        </w:rPr>
        <w:t xml:space="preserve"> well as mechanical integrity/long-term stability, the bridge between the microscopic and macroscopic scales is still unclear.</w:t>
      </w:r>
      <w:r>
        <w:rPr>
          <w:bCs/>
          <w:lang w:val="en-CA"/>
        </w:rPr>
        <w:t xml:space="preserve"> Herein, we present a systematic investigation of the distribution of </w:t>
      </w:r>
      <w:r w:rsidRPr="00D120AC">
        <w:rPr>
          <w:lang w:val="en-CA"/>
        </w:rPr>
        <w:t>TEMPO-oxidized cellulose nano</w:t>
      </w:r>
      <w:r w:rsidRPr="00D120AC">
        <w:rPr>
          <w:bCs/>
          <w:lang w:val="en-CA"/>
        </w:rPr>
        <w:t xml:space="preserve">fibrils </w:t>
      </w:r>
      <w:r w:rsidRPr="00D120AC">
        <w:rPr>
          <w:lang w:val="en-CA"/>
        </w:rPr>
        <w:t>(t-CNFs)</w:t>
      </w:r>
      <w:r>
        <w:rPr>
          <w:lang w:val="en-CA"/>
        </w:rPr>
        <w:t xml:space="preserve"> in two different molecular weight </w:t>
      </w:r>
      <w:proofErr w:type="gramStart"/>
      <w:r>
        <w:rPr>
          <w:lang w:val="en-CA"/>
        </w:rPr>
        <w:t>poly(</w:t>
      </w:r>
      <w:proofErr w:type="gramEnd"/>
      <w:r>
        <w:rPr>
          <w:lang w:val="en-CA"/>
        </w:rPr>
        <w:t>ethylene oxide) (PEO) and its effect on Li</w:t>
      </w:r>
      <w:r w:rsidRPr="008112B8">
        <w:rPr>
          <w:vertAlign w:val="superscript"/>
          <w:lang w:val="en-CA"/>
        </w:rPr>
        <w:t>+</w:t>
      </w:r>
      <w:r>
        <w:rPr>
          <w:lang w:val="en-CA"/>
        </w:rPr>
        <w:t xml:space="preserve"> ion mobility, bulk conductivity as well as long-term stability. </w:t>
      </w:r>
      <w:r w:rsidR="002C3C18" w:rsidRPr="008112B8">
        <w:rPr>
          <w:bCs/>
          <w:lang w:val="en-CA"/>
        </w:rPr>
        <w:t xml:space="preserve">For the first time, </w:t>
      </w:r>
      <w:r w:rsidR="00CF7FA2" w:rsidRPr="008112B8">
        <w:rPr>
          <w:bCs/>
          <w:lang w:val="en-CA"/>
        </w:rPr>
        <w:t xml:space="preserve"> </w:t>
      </w:r>
      <w:r w:rsidR="00DC59C9" w:rsidRPr="008112B8">
        <w:rPr>
          <w:bCs/>
          <w:lang w:val="en-CA"/>
        </w:rPr>
        <w:t>we link local Li-ion mobility</w:t>
      </w:r>
      <w:r w:rsidR="006D4692" w:rsidRPr="008112B8">
        <w:rPr>
          <w:bCs/>
          <w:lang w:val="en-CA"/>
        </w:rPr>
        <w:t xml:space="preserve"> at the nanoscale level</w:t>
      </w:r>
      <w:r w:rsidR="00DC59C9" w:rsidRPr="008112B8">
        <w:rPr>
          <w:bCs/>
          <w:lang w:val="en-CA"/>
        </w:rPr>
        <w:t xml:space="preserve"> to the </w:t>
      </w:r>
      <w:r w:rsidR="006D4692" w:rsidRPr="008112B8">
        <w:rPr>
          <w:bCs/>
          <w:lang w:val="en-CA"/>
        </w:rPr>
        <w:t xml:space="preserve">morphology of CPSE, defined by </w:t>
      </w:r>
      <w:r w:rsidR="00DC59C9" w:rsidRPr="008112B8">
        <w:rPr>
          <w:bCs/>
          <w:lang w:val="en-CA"/>
        </w:rPr>
        <w:t>PEO spherulitic growth in presence of t-CNF.</w:t>
      </w:r>
      <w:r w:rsidR="00CF7FA2" w:rsidRPr="008112B8">
        <w:rPr>
          <w:bCs/>
          <w:lang w:val="en-CA"/>
        </w:rPr>
        <w:t xml:space="preserve"> </w:t>
      </w:r>
      <w:r w:rsidR="0017288E" w:rsidRPr="008112B8">
        <w:rPr>
          <w:bCs/>
          <w:lang w:val="en-CA"/>
        </w:rPr>
        <w:t>I</w:t>
      </w:r>
      <w:r w:rsidRPr="008112B8">
        <w:rPr>
          <w:bCs/>
          <w:lang w:val="en-CA"/>
        </w:rPr>
        <w:t xml:space="preserve">n low </w:t>
      </w:r>
      <w:r w:rsidR="0017288E" w:rsidRPr="008112B8">
        <w:rPr>
          <w:bCs/>
          <w:lang w:val="en-CA"/>
        </w:rPr>
        <w:t>MW</w:t>
      </w:r>
      <w:r w:rsidRPr="008112B8">
        <w:rPr>
          <w:bCs/>
          <w:lang w:val="en-CA"/>
        </w:rPr>
        <w:t xml:space="preserve"> PEO</w:t>
      </w:r>
      <w:r w:rsidR="000E49EE" w:rsidRPr="008112B8">
        <w:rPr>
          <w:bCs/>
          <w:lang w:val="en-CA"/>
        </w:rPr>
        <w:t xml:space="preserve"> system</w:t>
      </w:r>
      <w:r w:rsidRPr="008112B8">
        <w:rPr>
          <w:bCs/>
          <w:lang w:val="en-CA"/>
        </w:rPr>
        <w:t>,</w:t>
      </w:r>
      <w:r w:rsidR="00DA33E0" w:rsidRPr="008112B8">
        <w:rPr>
          <w:bCs/>
          <w:lang w:val="en-CA"/>
        </w:rPr>
        <w:t xml:space="preserve"> spherulites occupy </w:t>
      </w:r>
      <w:r w:rsidR="000E49EE" w:rsidRPr="008112B8">
        <w:rPr>
          <w:bCs/>
          <w:lang w:val="en-CA"/>
        </w:rPr>
        <w:t>a</w:t>
      </w:r>
      <w:r w:rsidR="00DA33E0" w:rsidRPr="008112B8">
        <w:rPr>
          <w:bCs/>
          <w:lang w:val="en-CA"/>
        </w:rPr>
        <w:t xml:space="preserve"> whole volume of the </w:t>
      </w:r>
      <w:r w:rsidR="000E49EE" w:rsidRPr="008112B8">
        <w:rPr>
          <w:bCs/>
          <w:lang w:val="en-CA"/>
        </w:rPr>
        <w:t xml:space="preserve">derived </w:t>
      </w:r>
      <w:r w:rsidR="006D4692" w:rsidRPr="008112B8">
        <w:rPr>
          <w:bCs/>
          <w:lang w:val="en-CA"/>
        </w:rPr>
        <w:t>CPSE with</w:t>
      </w:r>
      <w:r w:rsidR="00DC59C9" w:rsidRPr="008112B8">
        <w:rPr>
          <w:bCs/>
          <w:lang w:val="en-CA"/>
        </w:rPr>
        <w:t xml:space="preserve"> </w:t>
      </w:r>
      <w:r w:rsidRPr="008112B8">
        <w:rPr>
          <w:bCs/>
          <w:lang w:val="en-CA"/>
        </w:rPr>
        <w:t xml:space="preserve">t-CNF </w:t>
      </w:r>
      <w:proofErr w:type="gramStart"/>
      <w:r w:rsidR="00DA33E0" w:rsidRPr="008112B8">
        <w:rPr>
          <w:bCs/>
          <w:lang w:val="en-CA"/>
        </w:rPr>
        <w:t xml:space="preserve">being </w:t>
      </w:r>
      <w:r w:rsidRPr="008112B8">
        <w:rPr>
          <w:bCs/>
          <w:lang w:val="en-CA"/>
        </w:rPr>
        <w:t>incorporated</w:t>
      </w:r>
      <w:proofErr w:type="gramEnd"/>
      <w:r w:rsidRPr="008112B8">
        <w:rPr>
          <w:bCs/>
          <w:lang w:val="en-CA"/>
        </w:rPr>
        <w:t xml:space="preserve"> in between lamellas</w:t>
      </w:r>
      <w:r w:rsidR="00E85F21" w:rsidRPr="008112B8">
        <w:rPr>
          <w:bCs/>
          <w:lang w:val="en-CA"/>
        </w:rPr>
        <w:t xml:space="preserve">, while </w:t>
      </w:r>
      <w:r w:rsidR="000E49EE" w:rsidRPr="008112B8">
        <w:rPr>
          <w:bCs/>
          <w:lang w:val="en-CA"/>
        </w:rPr>
        <w:t xml:space="preserve">their </w:t>
      </w:r>
      <w:r w:rsidR="00E85F21" w:rsidRPr="008112B8">
        <w:rPr>
          <w:bCs/>
          <w:lang w:val="en-CA"/>
        </w:rPr>
        <w:t>nuclei remain particle</w:t>
      </w:r>
      <w:r w:rsidR="00CB50DD" w:rsidRPr="008112B8">
        <w:rPr>
          <w:bCs/>
          <w:lang w:val="en-CA"/>
        </w:rPr>
        <w:t>-</w:t>
      </w:r>
      <w:r w:rsidR="00E85F21" w:rsidRPr="008112B8">
        <w:rPr>
          <w:bCs/>
          <w:lang w:val="en-CA"/>
        </w:rPr>
        <w:t>free</w:t>
      </w:r>
      <w:r w:rsidR="00DA33E0" w:rsidRPr="008112B8">
        <w:rPr>
          <w:bCs/>
          <w:lang w:val="en-CA"/>
        </w:rPr>
        <w:t>. I</w:t>
      </w:r>
      <w:r w:rsidRPr="008112B8">
        <w:rPr>
          <w:bCs/>
          <w:lang w:val="en-CA"/>
        </w:rPr>
        <w:t>n high MW PEO</w:t>
      </w:r>
      <w:r w:rsidR="00FA6FFA" w:rsidRPr="008112B8">
        <w:rPr>
          <w:bCs/>
          <w:lang w:val="en-CA"/>
        </w:rPr>
        <w:t xml:space="preserve"> system</w:t>
      </w:r>
      <w:r w:rsidRPr="008112B8">
        <w:rPr>
          <w:bCs/>
          <w:lang w:val="en-CA"/>
        </w:rPr>
        <w:t xml:space="preserve">, </w:t>
      </w:r>
      <w:r w:rsidR="000E49EE" w:rsidRPr="008112B8">
        <w:rPr>
          <w:bCs/>
          <w:lang w:val="en-CA"/>
        </w:rPr>
        <w:t xml:space="preserve">spherulites are scarce and their growth is </w:t>
      </w:r>
      <w:proofErr w:type="gramStart"/>
      <w:r w:rsidR="000E49EE" w:rsidRPr="008112B8">
        <w:rPr>
          <w:bCs/>
          <w:lang w:val="en-CA"/>
        </w:rPr>
        <w:t xml:space="preserve">arrested  </w:t>
      </w:r>
      <w:r w:rsidR="00CB50DD" w:rsidRPr="008112B8">
        <w:rPr>
          <w:bCs/>
          <w:lang w:val="en-CA"/>
        </w:rPr>
        <w:t>in</w:t>
      </w:r>
      <w:proofErr w:type="gramEnd"/>
      <w:r w:rsidR="00CB50DD" w:rsidRPr="008112B8">
        <w:rPr>
          <w:bCs/>
          <w:lang w:val="en-CA"/>
        </w:rPr>
        <w:t xml:space="preserve"> non-equilibrium cubic shape </w:t>
      </w:r>
      <w:r w:rsidR="00DA33E0" w:rsidRPr="008112B8">
        <w:rPr>
          <w:bCs/>
          <w:lang w:val="en-CA"/>
        </w:rPr>
        <w:t>due to</w:t>
      </w:r>
      <w:r w:rsidR="00CB50DD" w:rsidRPr="008112B8">
        <w:rPr>
          <w:bCs/>
          <w:lang w:val="en-CA"/>
        </w:rPr>
        <w:t xml:space="preserve"> the strong t-CNF network surrounding them.</w:t>
      </w:r>
      <w:r w:rsidR="008112B8">
        <w:rPr>
          <w:bCs/>
          <w:lang w:val="en-CA"/>
        </w:rPr>
        <w:t xml:space="preserve"> </w:t>
      </w:r>
      <w:r>
        <w:rPr>
          <w:bCs/>
          <w:lang w:val="en-CA"/>
        </w:rPr>
        <w:t xml:space="preserve">Electrochemical strain microscopy and solid state </w:t>
      </w:r>
      <w:r w:rsidRPr="00D120AC">
        <w:rPr>
          <w:vertAlign w:val="superscript"/>
          <w:lang w:val="en-CA"/>
        </w:rPr>
        <w:t>7</w:t>
      </w:r>
      <w:r w:rsidRPr="00D120AC">
        <w:rPr>
          <w:lang w:val="en-CA"/>
        </w:rPr>
        <w:t>Li</w:t>
      </w:r>
      <w:r>
        <w:rPr>
          <w:bCs/>
          <w:lang w:val="en-CA"/>
        </w:rPr>
        <w:t xml:space="preserve"> nuclear magnetic resonance </w:t>
      </w:r>
      <w:r w:rsidRPr="00091112">
        <w:rPr>
          <w:bCs/>
          <w:lang w:val="en-CA"/>
        </w:rPr>
        <w:t>spectroscopy</w:t>
      </w:r>
      <w:r>
        <w:rPr>
          <w:bCs/>
          <w:lang w:val="en-CA"/>
        </w:rPr>
        <w:t xml:space="preserve"> </w:t>
      </w:r>
      <w:r w:rsidR="00DA33E0">
        <w:rPr>
          <w:bCs/>
          <w:lang w:val="en-CA"/>
        </w:rPr>
        <w:t>confirm</w:t>
      </w:r>
      <w:r w:rsidR="00DA33E0" w:rsidRPr="00D120AC">
        <w:rPr>
          <w:bCs/>
          <w:lang w:val="en-CA"/>
        </w:rPr>
        <w:t xml:space="preserve"> </w:t>
      </w:r>
      <w:r w:rsidRPr="00D120AC">
        <w:rPr>
          <w:bCs/>
          <w:lang w:val="en-CA"/>
        </w:rPr>
        <w:t>that t-CNF does not partake in Li</w:t>
      </w:r>
      <w:r w:rsidRPr="00D120AC">
        <w:rPr>
          <w:bCs/>
          <w:vertAlign w:val="superscript"/>
          <w:lang w:val="en-CA"/>
        </w:rPr>
        <w:t>+</w:t>
      </w:r>
      <w:r w:rsidRPr="00D120AC">
        <w:rPr>
          <w:bCs/>
          <w:lang w:val="en-CA"/>
        </w:rPr>
        <w:t xml:space="preserve"> ion transport</w:t>
      </w:r>
      <w:r>
        <w:rPr>
          <w:bCs/>
          <w:lang w:val="en-CA"/>
        </w:rPr>
        <w:t xml:space="preserve"> irrespective of its distribution within polymer matrix.</w:t>
      </w:r>
      <w:r w:rsidRPr="00D120AC">
        <w:rPr>
          <w:lang w:val="en-CA"/>
        </w:rPr>
        <w:t xml:space="preserve"> </w:t>
      </w:r>
      <w:r>
        <w:rPr>
          <w:lang w:val="en-CA"/>
        </w:rPr>
        <w:t>F</w:t>
      </w:r>
      <w:r w:rsidRPr="00D120AC">
        <w:rPr>
          <w:lang w:val="en-CA"/>
        </w:rPr>
        <w:t xml:space="preserve">ree-standing CSPE films </w:t>
      </w:r>
      <w:r>
        <w:rPr>
          <w:lang w:val="en-CA"/>
        </w:rPr>
        <w:t>with low MW PEO have higher conductivity but lack long term stability</w:t>
      </w:r>
      <w:r w:rsidR="00CB50DD">
        <w:rPr>
          <w:lang w:val="en-CA"/>
        </w:rPr>
        <w:t xml:space="preserve"> due to the </w:t>
      </w:r>
      <w:r w:rsidR="00DA33E0">
        <w:rPr>
          <w:lang w:val="en-CA"/>
        </w:rPr>
        <w:t>existence of</w:t>
      </w:r>
      <w:r w:rsidR="000E49EE">
        <w:rPr>
          <w:lang w:val="en-CA"/>
        </w:rPr>
        <w:t xml:space="preserve"> uniformly distributed</w:t>
      </w:r>
      <w:r w:rsidR="006D4692">
        <w:rPr>
          <w:lang w:val="en-CA"/>
        </w:rPr>
        <w:t>,</w:t>
      </w:r>
      <w:r w:rsidR="000E49EE">
        <w:rPr>
          <w:lang w:val="en-CA"/>
        </w:rPr>
        <w:t xml:space="preserve"> particle-free</w:t>
      </w:r>
      <w:r w:rsidR="006D4692">
        <w:rPr>
          <w:lang w:val="en-CA"/>
        </w:rPr>
        <w:t>,</w:t>
      </w:r>
      <w:r w:rsidR="000E49EE">
        <w:rPr>
          <w:lang w:val="en-CA"/>
        </w:rPr>
        <w:t xml:space="preserve"> </w:t>
      </w:r>
      <w:r w:rsidR="006D4692">
        <w:rPr>
          <w:lang w:val="en-CA"/>
        </w:rPr>
        <w:t xml:space="preserve">spherulite </w:t>
      </w:r>
      <w:r w:rsidR="000E49EE">
        <w:rPr>
          <w:lang w:val="en-CA"/>
        </w:rPr>
        <w:t xml:space="preserve">nuclei, which have </w:t>
      </w:r>
      <w:proofErr w:type="gramStart"/>
      <w:r w:rsidR="000E49EE">
        <w:rPr>
          <w:lang w:val="en-CA"/>
        </w:rPr>
        <w:t>very little</w:t>
      </w:r>
      <w:proofErr w:type="gramEnd"/>
      <w:r w:rsidR="000E49EE">
        <w:rPr>
          <w:lang w:val="en-CA"/>
        </w:rPr>
        <w:t xml:space="preserve"> resistance to Li-dendrite growth</w:t>
      </w:r>
      <w:r>
        <w:rPr>
          <w:lang w:val="en-CA"/>
        </w:rPr>
        <w:t>. On the other hand, high MW PEO has lower conductivity but demonstrate</w:t>
      </w:r>
      <w:r w:rsidRPr="00D120AC">
        <w:rPr>
          <w:lang w:val="en-CA"/>
        </w:rPr>
        <w:t xml:space="preserve"> highly stable Li cycling response for more than </w:t>
      </w:r>
      <w:proofErr w:type="gramStart"/>
      <w:r w:rsidRPr="00D120AC">
        <w:rPr>
          <w:lang w:val="en-CA"/>
        </w:rPr>
        <w:t>1000</w:t>
      </w:r>
      <w:proofErr w:type="gramEnd"/>
      <w:r w:rsidRPr="00D120AC">
        <w:rPr>
          <w:lang w:val="en-CA"/>
        </w:rPr>
        <w:t xml:space="preserve"> hours at 0.2 mA/cm</w:t>
      </w:r>
      <w:r w:rsidRPr="00D120AC">
        <w:rPr>
          <w:vertAlign w:val="superscript"/>
          <w:lang w:val="en-CA"/>
        </w:rPr>
        <w:t>2</w:t>
      </w:r>
      <w:r w:rsidRPr="00D120AC">
        <w:rPr>
          <w:lang w:val="en-CA"/>
        </w:rPr>
        <w:t xml:space="preserve"> and 65 °C and more than 100 hours at 85 °C. </w:t>
      </w:r>
      <w:r w:rsidRPr="00D120AC">
        <w:rPr>
          <w:bCs/>
          <w:lang w:val="en-CA"/>
        </w:rPr>
        <w:t xml:space="preserve">The </w:t>
      </w:r>
      <w:r>
        <w:rPr>
          <w:bCs/>
          <w:lang w:val="en-CA"/>
        </w:rPr>
        <w:t>study provides the direct link between the microscopic dynamic</w:t>
      </w:r>
      <w:r w:rsidR="005416DE">
        <w:rPr>
          <w:bCs/>
          <w:lang w:val="en-CA"/>
        </w:rPr>
        <w:t>, Li-ion transport</w:t>
      </w:r>
      <w:r w:rsidR="00D514EA">
        <w:rPr>
          <w:bCs/>
          <w:lang w:val="en-CA"/>
        </w:rPr>
        <w:t xml:space="preserve">, bulk mechanical </w:t>
      </w:r>
      <w:proofErr w:type="gramStart"/>
      <w:r w:rsidR="00D514EA">
        <w:rPr>
          <w:bCs/>
          <w:lang w:val="en-CA"/>
        </w:rPr>
        <w:t>properties</w:t>
      </w:r>
      <w:proofErr w:type="gramEnd"/>
      <w:r w:rsidR="005416DE">
        <w:rPr>
          <w:bCs/>
          <w:lang w:val="en-CA"/>
        </w:rPr>
        <w:t xml:space="preserve"> and</w:t>
      </w:r>
      <w:r>
        <w:rPr>
          <w:bCs/>
          <w:lang w:val="en-CA"/>
        </w:rPr>
        <w:t xml:space="preserve"> long-term stability of the </w:t>
      </w:r>
      <w:r w:rsidRPr="00D120AC">
        <w:rPr>
          <w:bCs/>
          <w:lang w:val="en-CA"/>
        </w:rPr>
        <w:t>derived CPSE</w:t>
      </w:r>
      <w:r>
        <w:rPr>
          <w:bCs/>
          <w:lang w:val="en-CA"/>
        </w:rPr>
        <w:t>, and as such</w:t>
      </w:r>
      <w:r w:rsidRPr="00D120AC">
        <w:rPr>
          <w:bCs/>
          <w:lang w:val="en-CA"/>
        </w:rPr>
        <w:t xml:space="preserve"> offers a pathway towards </w:t>
      </w:r>
      <w:r>
        <w:rPr>
          <w:bCs/>
          <w:lang w:val="en-CA"/>
        </w:rPr>
        <w:t xml:space="preserve">design of robust </w:t>
      </w:r>
      <w:r w:rsidRPr="00D120AC">
        <w:rPr>
          <w:bCs/>
          <w:lang w:val="en-CA"/>
        </w:rPr>
        <w:t xml:space="preserve">all-solid-state Li metal </w:t>
      </w:r>
      <w:r>
        <w:rPr>
          <w:bCs/>
          <w:lang w:val="en-CA"/>
        </w:rPr>
        <w:t>batteries.</w:t>
      </w:r>
    </w:p>
    <w:p w14:paraId="77FE5D60" w14:textId="77D04A94" w:rsidR="00B46BAF" w:rsidRDefault="00B46BAF" w:rsidP="00B46BAF">
      <w:pPr>
        <w:autoSpaceDE w:val="0"/>
        <w:autoSpaceDN w:val="0"/>
        <w:adjustRightInd w:val="0"/>
        <w:spacing w:line="480" w:lineRule="auto"/>
        <w:contextualSpacing/>
        <w:jc w:val="center"/>
        <w:rPr>
          <w:bCs/>
          <w:lang w:val="en-CA"/>
        </w:rPr>
      </w:pPr>
    </w:p>
    <w:p w14:paraId="2313BEA4" w14:textId="2D12A062" w:rsidR="00864DAC" w:rsidRPr="00A170C3" w:rsidRDefault="00B46BAF" w:rsidP="00A170C3">
      <w:pPr>
        <w:autoSpaceDE w:val="0"/>
        <w:autoSpaceDN w:val="0"/>
        <w:adjustRightInd w:val="0"/>
        <w:spacing w:line="480" w:lineRule="auto"/>
        <w:contextualSpacing/>
        <w:rPr>
          <w:bCs/>
          <w:lang w:val="en-CA"/>
        </w:rPr>
      </w:pPr>
      <w:r w:rsidRPr="00D120AC">
        <w:rPr>
          <w:iCs/>
          <w:lang w:val="en-CA"/>
        </w:rPr>
        <w:lastRenderedPageBreak/>
        <w:t>Keywords:</w:t>
      </w:r>
      <w:r w:rsidRPr="00D120AC">
        <w:rPr>
          <w:lang w:val="en-CA"/>
        </w:rPr>
        <w:t xml:space="preserve"> solid polymer electrolytes, </w:t>
      </w:r>
      <w:r w:rsidR="005416DE">
        <w:rPr>
          <w:lang w:val="en-CA"/>
        </w:rPr>
        <w:t>spherulitic growth</w:t>
      </w:r>
      <w:r w:rsidRPr="00D120AC">
        <w:rPr>
          <w:lang w:val="en-CA"/>
        </w:rPr>
        <w:t>,</w:t>
      </w:r>
      <w:r w:rsidR="005416DE">
        <w:rPr>
          <w:lang w:val="en-CA"/>
        </w:rPr>
        <w:t xml:space="preserve"> Li-ion mobility,</w:t>
      </w:r>
      <w:r w:rsidRPr="00D120AC">
        <w:rPr>
          <w:lang w:val="en-CA"/>
        </w:rPr>
        <w:t xml:space="preserve"> lithium dendrites, nanocellulose, sustainable lithium metal batteries</w:t>
      </w:r>
      <w:r w:rsidR="00864DAC" w:rsidRPr="00D120AC">
        <w:rPr>
          <w:lang w:val="en-CA"/>
        </w:rPr>
        <w:br w:type="page"/>
      </w:r>
    </w:p>
    <w:p w14:paraId="60CFD969" w14:textId="77777777" w:rsidR="00872A4B" w:rsidRPr="00D120AC" w:rsidRDefault="00872A4B" w:rsidP="00872A4B">
      <w:pPr>
        <w:pStyle w:val="berschrift1"/>
      </w:pPr>
      <w:r w:rsidRPr="00D120AC">
        <w:lastRenderedPageBreak/>
        <w:t>Introduction</w:t>
      </w:r>
    </w:p>
    <w:p w14:paraId="20D47A1F" w14:textId="665B1190" w:rsidR="00872A4B" w:rsidRPr="00D120AC" w:rsidRDefault="00872A4B" w:rsidP="00872A4B">
      <w:pPr>
        <w:autoSpaceDE w:val="0"/>
        <w:autoSpaceDN w:val="0"/>
        <w:adjustRightInd w:val="0"/>
        <w:spacing w:line="480" w:lineRule="auto"/>
        <w:ind w:firstLine="720"/>
        <w:contextualSpacing/>
        <w:rPr>
          <w:lang w:val="en-CA"/>
        </w:rPr>
      </w:pPr>
      <w:r w:rsidRPr="00D120AC">
        <w:rPr>
          <w:lang w:val="en-CA"/>
        </w:rPr>
        <w:t xml:space="preserve">Lithium-ion batteries (LIBs) are high-density energy storage devices commonly used for portable electronics and electric vehicles with increasing penetration in other application areas including </w:t>
      </w:r>
      <w:r w:rsidRPr="00D120AC">
        <w:rPr>
          <w:color w:val="000000" w:themeColor="text1"/>
          <w:lang w:val="en-CA"/>
        </w:rPr>
        <w:t>stationary storage systems.</w:t>
      </w:r>
      <w:r w:rsidRPr="00D120AC">
        <w:rPr>
          <w:vertAlign w:val="superscript"/>
          <w:lang w:val="en-CA"/>
        </w:rPr>
        <w:fldChar w:fldCharType="begin" w:fldLock="1"/>
      </w:r>
      <w:r w:rsidRPr="00D120AC">
        <w:rPr>
          <w:vertAlign w:val="superscript"/>
          <w:lang w:val="en-CA"/>
        </w:rPr>
        <w:instrText>ADDIN CSL_CITATION {"citationItems":[{"id":"ITEM-1","itemData":{"DOI":"10.1038/35104644","ISBN":"0028-0836","ISSN":"0028-0836","PMID":"11713543","abstract":"Technological improvements in rechargeable solid-state batteries are being driven by an ever-increasing demand for portable electronic devices. Lithium-ion batteries are the systems of choice, offering high energy density, flexible and lightweight design, and longer lifespan than comparable battery technologies. We present a brief historical review of the development of lithium-based rechargeable batteries, highlight ongoing research strategies, and discuss the challenges that remain regarding the synthesis, characterization, electrochemical performance and safety of these systems.","author":[{"dropping-particle":"","family":"Armand","given":"M","non-dropping-particle":"","parse-names":false,"suffix":""}],"container-title":"Nature","id":"ITEM-1","issue":"November","issued":{"date-parts":[["2001"]]},"page":"359-367","title":"Nature Lithium Battery","type":"article-journal","volume":"414"},"uris":["http://www.mendeley.com/documents/?uuid=7e56cf16-8af3-41a9-96de-20bddb156cc9"]},{"id":"ITEM-2","itemData":{"DOI":"10.3390/ma12233892","abstract":"Most of the current commercialized lithium batteries employ liquid electrolytes, despite their vulnerability to battery fire hazards, because they avoid the formation of dendrites on the anode side, which is commonly encountered in solid-state batteries. In a review two years ago, we focused on the challenges and issues facing lithium metal for solid-state rechargeable batteries, pointed to the progress made in addressing this drawback, and concluded that a situation could be envisioned where solid-state batteries would again win over liquid batteries for different applications in the near future. However, an additional drawback of solid-state batteries is the lower ionic conductivity of the electrolyte. Therefore, extensive research efforts have been invested in the last few years to overcome this problem, the reward of which has been significant progress. It is the purpose of this review to report these recent works and the state of the art on solid electrolytes. In addition to solid electrolytes stricto sensu, there are other electrolytes that are mainly solids, but with some added liquid. In some cases, the amount of liquid added is only on the microliter scale; the addition of liquid is aimed at only improving the contact between a solid-state electrolyte and an electrode, for instance. In some other cases, the amount of liquid is larger, as in the case of gel polymers. It is also an acceptable solution if the amount of liquid is small enough to maintain the safety of the cell; such cases are also considered in this review. Different chemistries are examined, including not only Li-air, Li–O2, and Li–S, but also sodium-ion batteries, which are also subject to intensive research. The challenges toward commercialization are also considered.","author":[{"dropping-particle":"","family":"Mauger","given":"","non-dropping-particle":"","parse-names":false,"suffix":""},{"dropping-particle":"","family":"Julien","given":"","non-dropping-particle":"","parse-names":false,"suffix":""},{"dropping-particle":"","family":"Paolella","given":"","non-dropping-particle":"","parse-names":false,"suffix":""},{"dropping-particle":"","family":"Armand","given":"","non-dropping-particle":"","parse-names":false,"suffix":""},{"dropping-particle":"","family":"Zaghib","given":"","non-dropping-particle":"","parse-names":false,"suffix":""}],"container-title":"Materials","id":"ITEM-2","issue":"23","issued":{"date-parts":[["2019"]]},"page":"3892","title":"Building Better Batteries in the Solid State: A Review","type":"article-journal","volume":"12"},"uris":["http://www.mendeley.com/documents/?uuid=f74eec8b-0ae7-496d-b725-13483d1fa47f"]}],"mendeley":{"formattedCitation":"[1], [2]","plainTextFormattedCitation":"[1], [2]","previouslyFormattedCitation":"[1], [2]"},"properties":{"noteIndex":0},"schema":"https://github.com/citation-style-language/schema/raw/master/csl-citation.json"}</w:instrText>
      </w:r>
      <w:r w:rsidRPr="00D120AC">
        <w:rPr>
          <w:vertAlign w:val="superscript"/>
          <w:lang w:val="en-CA"/>
        </w:rPr>
        <w:fldChar w:fldCharType="separate"/>
      </w:r>
      <w:r w:rsidRPr="00D120AC">
        <w:rPr>
          <w:noProof/>
          <w:vertAlign w:val="superscript"/>
          <w:lang w:val="en-CA"/>
        </w:rPr>
        <w:t>1,2</w:t>
      </w:r>
      <w:r w:rsidRPr="00D120AC">
        <w:rPr>
          <w:vertAlign w:val="superscript"/>
          <w:lang w:val="en-CA"/>
        </w:rPr>
        <w:fldChar w:fldCharType="end"/>
      </w:r>
      <w:r w:rsidRPr="00D120AC">
        <w:rPr>
          <w:lang w:val="en-CA"/>
        </w:rPr>
        <w:t xml:space="preserve"> Despite their widespread use, commercial LIBs are known to expose users to multiple hazards due to the presence of toxic and flammable organic liquid electrolytes. Another issue is the poor electrochemical stability of lithium within the organic electrolyte which results in rapid dendrite growth causing fast cell degradation.</w:t>
      </w:r>
      <w:r w:rsidRPr="00D120AC">
        <w:rPr>
          <w:vertAlign w:val="superscript"/>
          <w:lang w:val="en-CA"/>
        </w:rPr>
        <w:fldChar w:fldCharType="begin" w:fldLock="1"/>
      </w:r>
      <w:r w:rsidRPr="00D120AC">
        <w:rPr>
          <w:vertAlign w:val="superscript"/>
          <w:lang w:val="en-CA"/>
        </w:rPr>
        <w:instrText>ADDIN CSL_CITATION {"citationItems":[{"id":"ITEM-1","itemData":{"DOI":"10.1021/acs.accounts.9b00437","ISSN":"15204898","PMID":"31657541","abstract":"ConspectusWith the increasing diversification of portable electronics and large-scale energy storage systems, conventional lithium-ion batteries (LIBs) with graphite anodes are now approaching their theoretical limits. Lithium metal, as the \"Holy Grail\" electrode for next-generation rechargeable batteries, is being revisited to meet the booming demand for high energy density electrodes due to its ultrahigh theoretical specific capacity and negative redox potential. Nevertheless, typical issues like notorious dendrite growth still hamper the bulk application of Li metal anodes. Dendrite growth renders increased surface area of the lithium metal, causing persistent depletion of the electrolyte and active materials, facilitating catastrophic failure of the battery, and even inducing fatal safety hazards. The consequences become more serious during operation at high current densities and over long cycling life. Therefore, it is urgent to suppress and even eliminate dendrite formation during the Li plating/stripping process.This Account highlights several innovative strategies for dendrite suppression, dendrite regulation, and dendrite elimination from the perspective of interface energy and bulk stresses. First, we review the fundamental mechanism of dendrite formation and growth in Li metal anodes. We show that the dendrite morphology could be substantially ameliorated, in theory, by homogenizing the electric field distribution, lowering the Li ion concentration gradient, and facilitating mechanical blocking. Next, we address the problem of dendrite suppression by applying two-dimensional (2D) materials to Li metal systems and preventing dendrite penetration through stress release and mechanical blocking. Graphene with a high specific area and vermiculite sheets (VSs) with a large physical rigidity were demonstrated to be efficacious in reinforcing Li anodes and polymer electrolytes separately. However, Li dendrite growth is a continuous process and remains inevitable with increasing current density and cycling life. Instead of suppressing dendrite growth, we focus on how to regulate homogeneous Li dendrite formation and growth. Dendrite regulation means to allow dendrite growth but take steps to transform it into Li with a smooth morphology. We introduce two main strategies to regulate Li growth: (i) guiding Li nucleation and (ii) controlling the Li growth pathways and directions. These processes greatly rely on the interface energy between the substrate …","author":[{"dropping-particle":"","family":"Zhang","given":"Xinyue","non-dropping-particle":"","parse-names":false,"suffix":""},{"dropping-particle":"","family":"Wang","given":"Aoxuan","non-dropping-particle":"","parse-names":false,"suffix":""},{"dropping-particle":"","family":"Liu","given":"Xingjiang","non-dropping-particle":"","parse-names":false,"suffix":""},{"dropping-particle":"","family":"Luo","given":"Jiayan","non-dropping-particle":"","parse-names":false,"suffix":""}],"container-title":"Accounts of Chemical Research","genre":"research-article","id":"ITEM-1","issue":"11","issued":{"date-parts":[["2019"]]},"page":"3223-3232","publisher":"American Chemical Society","title":"Dendrites in Lithium Metal Anodes: Suppression, Regulation, and Elimination","type":"article-journal","volume":"52"},"uris":["http://www.mendeley.com/documents/?uuid=4c822702-2cf0-471c-bea9-cfb68bc5cbfc"]},{"id":"ITEM-2","itemData":{"DOI":"10.1002/advs.201600168","ISSN":"21983844","abstract":"The formation of lithium dendrites induces the notorious safety issue and poor cycling life of energy storage devices, such as lithium–sulfur and lithium–air batteries. We propose a surface energy model to describe the complex interface between the lithium anode and electrolyte. A universal strategy of hindering formation of lithium dendrites via tuning surface energy of the relevant thin film growth is suggested. The merit of the novel motif lies not only fundamentally a perfect correlation between electrochemistry and thin film fields, but also significantly promotes larger-scale application of lithium–sulfur and lithium–air batteries, as well as other metal batteries (e.g., Zn, Na, K, Cu, Ag, and Sn).","author":[{"dropping-particle":"","family":"Wang","given":"Dong","non-dropping-particle":"","parse-names":false,"suffix":""},{"dropping-particle":"","family":"Zhang","given":"Wei","non-dropping-particle":"","parse-names":false,"suffix":""},{"dropping-particle":"","family":"Zheng","given":"Weitao","non-dropping-particle":"","parse-names":false,"suffix":""},{"dropping-particle":"","family":"Cui","given":"Xiaoqiang","non-dropping-particle":"","parse-names":false,"suffix":""},{"dropping-particle":"","family":"Rojo","given":"Teófilo","non-dropping-particle":"","parse-names":false,"suffix":""},{"dropping-particle":"","family":"Zhang","given":"Qiang","non-dropping-particle":"","parse-names":false,"suffix":""}],"container-title":"Advanced Science","id":"ITEM-2","issue":"1","issued":{"date-parts":[["2017"]]},"title":"Towards High-Safe Lithium Metal Anodes: Suppressing Lithium Dendrites via Tuning Surface Energy","type":"article-journal","volume":"4"},"uris":["http://www.mendeley.com/documents/?uuid=e033effc-90cb-41fe-9b11-f92fae093576"]}],"mendeley":{"formattedCitation":"[3], [4]","plainTextFormattedCitation":"[3], [4]","previouslyFormattedCitation":"[3], [4]"},"properties":{"noteIndex":0},"schema":"https://github.com/citation-style-language/schema/raw/master/csl-citation.json"}</w:instrText>
      </w:r>
      <w:r w:rsidRPr="00D120AC">
        <w:rPr>
          <w:vertAlign w:val="superscript"/>
          <w:lang w:val="en-CA"/>
        </w:rPr>
        <w:fldChar w:fldCharType="separate"/>
      </w:r>
      <w:r w:rsidRPr="00D120AC">
        <w:rPr>
          <w:noProof/>
          <w:vertAlign w:val="superscript"/>
          <w:lang w:val="en-CA"/>
        </w:rPr>
        <w:t>3,4</w:t>
      </w:r>
      <w:r w:rsidRPr="00D120AC">
        <w:rPr>
          <w:vertAlign w:val="superscript"/>
          <w:lang w:val="en-CA"/>
        </w:rPr>
        <w:fldChar w:fldCharType="end"/>
      </w:r>
      <w:r w:rsidRPr="00D120AC">
        <w:rPr>
          <w:lang w:val="en-CA"/>
        </w:rPr>
        <w:t xml:space="preserve"> Parallel to the growing interest in overcoming issues in the currently utilized batteries, we have seen significant advances in solid state lithium-ion batteries over the past two decades. </w:t>
      </w:r>
      <w:r w:rsidRPr="00D120AC">
        <w:rPr>
          <w:color w:val="000000" w:themeColor="text1"/>
          <w:lang w:val="en-CA"/>
        </w:rPr>
        <w:t>Their key advantages are durability, leak-proof battery cell design, low weight, high energy density, and low reactivity towards the electrodes.</w:t>
      </w:r>
      <w:r w:rsidRPr="00D120AC">
        <w:rPr>
          <w:color w:val="000000" w:themeColor="text1"/>
          <w:vertAlign w:val="superscript"/>
          <w:lang w:val="en-CA"/>
        </w:rPr>
        <w:fldChar w:fldCharType="begin" w:fldLock="1"/>
      </w:r>
      <w:r w:rsidRPr="00D120AC">
        <w:rPr>
          <w:color w:val="000000" w:themeColor="text1"/>
          <w:vertAlign w:val="superscript"/>
          <w:lang w:val="en-CA"/>
        </w:rPr>
        <w:instrText>ADDIN CSL_CITATION {"citationItems":[{"id":"ITEM-1","itemData":{"DOI":"10.3390/ma12233892","abstract":"Most of the current commercialized lithium batteries employ liquid electrolytes, despite their vulnerability to battery fire hazards, because they avoid the formation of dendrites on the anode side, which is commonly encountered in solid-state batteries. In a review two years ago, we focused on the challenges and issues facing lithium metal for solid-state rechargeable batteries, pointed to the progress made in addressing this drawback, and concluded that a situation could be envisioned where solid-state batteries would again win over liquid batteries for different applications in the near future. However, an additional drawback of solid-state batteries is the lower ionic conductivity of the electrolyte. Therefore, extensive research efforts have been invested in the last few years to overcome this problem, the reward of which has been significant progress. It is the purpose of this review to report these recent works and the state of the art on solid electrolytes. In addition to solid electrolytes stricto sensu, there are other electrolytes that are mainly solids, but with some added liquid. In some cases, the amount of liquid added is only on the microliter scale; the addition of liquid is aimed at only improving the contact between a solid-state electrolyte and an electrode, for instance. In some other cases, the amount of liquid is larger, as in the case of gel polymers. It is also an acceptable solution if the amount of liquid is small enough to maintain the safety of the cell; such cases are also considered in this review. Different chemistries are examined, including not only Li-air, Li–O2, and Li–S, but also sodium-ion batteries, which are also subject to intensive research. The challenges toward commercialization are also considered.","author":[{"dropping-particle":"","family":"Mauger","given":"","non-dropping-particle":"","parse-names":false,"suffix":""},{"dropping-particle":"","family":"Julien","given":"","non-dropping-particle":"","parse-names":false,"suffix":""},{"dropping-particle":"","family":"Paolella","given":"","non-dropping-particle":"","parse-names":false,"suffix":""},{"dropping-particle":"","family":"Armand","given":"","non-dropping-particle":"","parse-names":false,"suffix":""},{"dropping-particle":"","family":"Zaghib","given":"","non-dropping-particle":"","parse-names":false,"suffix":""}],"container-title":"Materials","id":"ITEM-1","issue":"23","issued":{"date-parts":[["2019"]]},"page":"3892","title":"Building Better Batteries in the Solid State: A Review","type":"article-journal","volume":"12"},"uris":["http://www.mendeley.com/documents/?uuid=f74eec8b-0ae7-496d-b725-13483d1fa47f"]},{"id":"ITEM-2","itemData":{"DOI":"10.1002/advs.201903088","ISSN":"21983844","abstract":"Solid composite electrolytes (SCEs) that combine the advantages of solid polymer electrolytes (SPEs) and inorganic ceramic electrolytes (ICEs) present acceptable ionic conductivity, high mechanical strength, and favorable interfacial contact with electrodes, which greatly improve the electrochemical performance of all-solid-state batteries compared to single SPEs and ICEs. However, there are many challenges to overcome before the practical application of SCEs, including the low ionic conductivity less than 10−3 S cm−1 at ambient temperature, poor interfacial stability, and high interfacial resistance, which greatly restrict the room temperature performance. Herein, the advances of SCEs applied in all-solid-state lithium batteries are presented, including the Li ion migration mechanism of SCEs, the strategies to enhance the ionic conductivity of SCEs by various morphologies of ICEs, and construction methods of the low resistance and stable interfaces of SCEs with both cathode and anode. Finally, some typical applications of SCEs in lithium batteries are summarized and future development directions are prospected. This work presents how it is quite significant to further enhance the ionic conductivity of SCEs by developing the novel SPEs with the special morphology of ICEs for advanced all-solid-state lithium batteries.","author":[{"dropping-particle":"","family":"Li","given":"Song","non-dropping-particle":"","parse-names":false,"suffix":""},{"dropping-particle":"","family":"Zhang","given":"Shi Qi","non-dropping-particle":"","parse-names":false,"suffix":""},{"dropping-particle":"","family":"Shen","given":"Lu","non-dropping-particle":"","parse-names":false,"suffix":""},{"dropping-particle":"","family":"Liu","given":"Qi","non-dropping-particle":"","parse-names":false,"suffix":""},{"dropping-particle":"Bin","family":"Ma","given":"Jia","non-dropping-particle":"","parse-names":false,"suffix":""},{"dropping-particle":"","family":"Lv","given":"Wei","non-dropping-particle":"","parse-names":false,"suffix":""},{"dropping-particle":"","family":"He","given":"Yan Bing","non-dropping-particle":"","parse-names":false,"suffix":""},{"dropping-particle":"","family":"Yang","given":"Quan Hong","non-dropping-particle":"","parse-names":false,"suffix":""}],"container-title":"Advanced Science","id":"ITEM-2","issue":"5","issued":{"date-parts":[["2020"]]},"title":"Progress and Perspective of Ceramic/Polymer Composite Solid Electrolytes for Lithium Batteries","type":"article-journal","volume":"7"},"uris":["http://www.mendeley.com/documents/?uuid=8014e9d3-1e95-4e85-a940-ba6f23697203"]}],"mendeley":{"formattedCitation":"[2], [5]","plainTextFormattedCitation":"[2], [5]","previouslyFormattedCitation":"[2], [5]"},"properties":{"noteIndex":0},"schema":"https://github.com/citation-style-language/schema/raw/master/csl-citation.json"}</w:instrText>
      </w:r>
      <w:r w:rsidRPr="00D120AC">
        <w:rPr>
          <w:color w:val="000000" w:themeColor="text1"/>
          <w:vertAlign w:val="superscript"/>
          <w:lang w:val="en-CA"/>
        </w:rPr>
        <w:fldChar w:fldCharType="separate"/>
      </w:r>
      <w:r w:rsidRPr="00D120AC">
        <w:rPr>
          <w:noProof/>
          <w:color w:val="000000" w:themeColor="text1"/>
          <w:vertAlign w:val="superscript"/>
          <w:lang w:val="en-CA"/>
        </w:rPr>
        <w:t>2,5</w:t>
      </w:r>
      <w:r w:rsidRPr="00D120AC">
        <w:rPr>
          <w:color w:val="000000" w:themeColor="text1"/>
          <w:vertAlign w:val="superscript"/>
          <w:lang w:val="en-CA"/>
        </w:rPr>
        <w:fldChar w:fldCharType="end"/>
      </w:r>
    </w:p>
    <w:p w14:paraId="125DBD19" w14:textId="6B800C71" w:rsidR="00872A4B" w:rsidRPr="00D120AC" w:rsidRDefault="00872A4B" w:rsidP="00872A4B">
      <w:pPr>
        <w:autoSpaceDE w:val="0"/>
        <w:autoSpaceDN w:val="0"/>
        <w:adjustRightInd w:val="0"/>
        <w:spacing w:line="480" w:lineRule="auto"/>
        <w:ind w:firstLine="720"/>
        <w:contextualSpacing/>
        <w:rPr>
          <w:color w:val="000000" w:themeColor="text1"/>
          <w:lang w:val="en-CA"/>
        </w:rPr>
      </w:pPr>
      <w:r w:rsidRPr="00D120AC">
        <w:rPr>
          <w:color w:val="000000" w:themeColor="text1"/>
          <w:lang w:val="en-CA"/>
        </w:rPr>
        <w:t>With solid electrolyte playing a dual role as both a separator and an electrolyte in a solid-state battery configuration, several criteria such as fast ion transport, a wide electrochemical window, chemical stability, mechanical integrity at ambient and elevated temperatures to supress lithium (Li) dendrite growth, and the environmental footprint associated with their design must be considered.</w:t>
      </w:r>
      <w:r w:rsidRPr="00D120AC">
        <w:rPr>
          <w:color w:val="000000" w:themeColor="text1"/>
          <w:vertAlign w:val="superscript"/>
          <w:lang w:val="en-CA"/>
        </w:rPr>
        <w:fldChar w:fldCharType="begin" w:fldLock="1"/>
      </w:r>
      <w:r w:rsidRPr="00D120AC">
        <w:rPr>
          <w:color w:val="000000" w:themeColor="text1"/>
          <w:vertAlign w:val="superscript"/>
          <w:lang w:val="en-CA"/>
        </w:rPr>
        <w:instrText>ADDIN CSL_CITATION {"citationItems":[{"id":"ITEM-1","itemData":{"DOI":"10.1007/s11581-016-1908-6","ISBN":"1158101619","ISSN":"18620760","abstract":"Polymer electrolytes (PEs) are an essential component\nbeing used in most energy storage/conversion devices.\nThe present review article on a brief history, advantage,\nand their brief application of polymer electrolyte\nsystems. It consists of a glimpse on liquid, gel, and solid\npolymer electrolyte and a contrast comparison concerning\nbenefits/disadvantages among the three. The article started\nwith a brief introduction of polymer electrolytes followed\nby their varieties and extreme uses. The role of host polymer\nmatrix by taking numerous examples of polymer\nelectrolyte published by the different renowned group of\nthe concerned field has been explored. The criteria for\nselection of appropriate host polymer, salt, inorganic filler/\nclay, and aprotic solvents to be used in polymer electrolyte\nhave been discussed in detail. The mostly used\npolymer, salt, solvents, and inorganic filler/clay list has\nbeen prepared in order to keep the data bank at one place\nfor new researchers. This article comprises different methodologies\nfor the preparation of polymer electrolyte films.\nThe different self-proposed mechanisms (like VTF, WLF,\nfree volume theory, dispersed/intercalated mechanisms,\netc.) have been discussed in order to explain the lithium\nion conduction in polymer electrolyte systems. A numerous\ncharacterization techniques and their resulting analysis\nhave been summarized from the different published\nreports at one place for better awareness of the scientific\ncommunity/reader of the area.","author":[{"dropping-particle":"","family":"Arya","given":"Anil","non-dropping-particle":"","parse-names":false,"suffix":""},{"dropping-particle":"","family":"Sharma","given":"A. L.","non-dropping-particle":"","parse-names":false,"suffix":""}],"container-title":"Ionics","id":"ITEM-1","issue":"3","issued":{"date-parts":[["2017"]]},"number-of-pages":"497-540","publisher":"Ionics","title":"Polymer electrolytes for lithium ion batteries: a critical study","type":"book","volume":"23"},"uris":["http://www.mendeley.com/documents/?uuid=b970990d-a5bd-4f60-b2b9-519f34a8ff70"]},{"id":"ITEM-2","itemData":{"DOI":"10.1016/j.jsamd.2018.01.002","ISSN":"24682179","abstract":"This review article provides a deep insight into the ion conduction mechanism in polymer electrolytes (PEs). The concepts of different categories of polymer electrolytes are discussed. The significance of the existence of functional (polar) groups on the backbone of host polymers, which are used in polymer electrolytes, is well explained. The working principle of electrical impedance spectroscopy (EIS) is overviewed. The relationship between impedance plots and equivalent circuits, which are crucial for electrical characterization, is extensively interpreted. Based on the patterns of dc conductivity (σdc) versus 1000/T, the ion transport models of Arrhenius and Vogel–Tammann–Fulcher (VTF) are discussed. Effects of coupling and decoupling between ionic motion and polymer segmental relaxation are analyzed. The important role of dielectric constant on cationic transport in PEs is also explained. The relationships existing between electrical and dielectric parameters are elucidated, which help interpret and understand the ion conduction mechanism. From the reported empirical curves of dc conductivity vs. dielectric constant, the reformulated Arrhenius [σdc(T)=σ0exp(−[Formula presented])] equation is proposed. Finally, other important phenomena, occurring in polymer electrolytes, are shown to be understandable from the dielectric constant studies.","author":[{"dropping-particle":"","family":"Aziz","given":"Shujahadeen B.","non-dropping-particle":"","parse-names":false,"suffix":""},{"dropping-particle":"","family":"Woo","given":"Thompson J.","non-dropping-particle":"","parse-names":false,"suffix":""},{"dropping-particle":"","family":"Kadir","given":"M. F.Z.","non-dropping-particle":"","parse-names":false,"suffix":""},{"dropping-particle":"","family":"Ahmed","given":"Hameed M.","non-dropping-particle":"","parse-names":false,"suffix":""}],"container-title":"Journal of Science: Advanced Materials and Devices","id":"ITEM-2","issue":"1","issued":{"date-parts":[["2018"]]},"page":"1-17","publisher":"Elsevier Ltd","title":"A conceptual review on polymer electrolytes and ion transport models","type":"article-journal","volume":"3"},"uris":["http://www.mendeley.com/documents/?uuid=d3cf9440-e835-4925-9896-f1810237a46c"]},{"id":"ITEM-3","itemData":{"DOI":"10.1021/acs.macromol.9b02742","ISSN":"15205835","abstract":"We present a brief overview of current developments in the field of polymer electrolytes, with the focus on single-ion conducting polymers. The latter have significant advantages relative to electrolytes with dual-ion conductivity for use in energy storage devices. First we discuss various mechanisms of ionic conductivity in polymers and fundamental limitations imposed by these mechanisms. We also emphasize the role of ion-ion correlations in conductivity that are not negligible in concentrated and semidilute ionic systems. Next we discuss several classes of polymer electrolytes (gels, block copolymers, and composites) that are already employed or have good potential to be employed in current battery technologies. At the end we discuss perspectives for the design of dry single-ion conducting polymer electrolytes with required room temperature conductivity.","author":[{"dropping-particle":"","family":"Bocharova","given":"V.","non-dropping-particle":"","parse-names":false,"suffix":""},{"dropping-particle":"","family":"Sokolov","given":"A. P.","non-dropping-particle":"","parse-names":false,"suffix":""}],"container-title":"Macromolecules","id":"ITEM-3","issue":"11","issued":{"date-parts":[["2020"]]},"page":"4141-4157","title":"Perspectives for Polymer Electrolytes: A View from Fundamentals of Ionic Conductivity","type":"article-journal","volume":"53"},"uris":["http://www.mendeley.com/documents/?uuid=e72e9709-75fb-47d8-860d-77bbf3b6474f"]}],"mendeley":{"formattedCitation":"[6]–[8]","plainTextFormattedCitation":"[6]–[8]","previouslyFormattedCitation":"[6]–[8]"},"properties":{"noteIndex":0},"schema":"https://github.com/citation-style-language/schema/raw/master/csl-citation.json"}</w:instrText>
      </w:r>
      <w:r w:rsidRPr="00D120AC">
        <w:rPr>
          <w:color w:val="000000" w:themeColor="text1"/>
          <w:vertAlign w:val="superscript"/>
          <w:lang w:val="en-CA"/>
        </w:rPr>
        <w:fldChar w:fldCharType="separate"/>
      </w:r>
      <w:r w:rsidRPr="00D120AC">
        <w:rPr>
          <w:noProof/>
          <w:color w:val="000000" w:themeColor="text1"/>
          <w:vertAlign w:val="superscript"/>
          <w:lang w:val="en-CA"/>
        </w:rPr>
        <w:t>6-8</w:t>
      </w:r>
      <w:r w:rsidRPr="00D120AC">
        <w:rPr>
          <w:color w:val="000000" w:themeColor="text1"/>
          <w:vertAlign w:val="superscript"/>
          <w:lang w:val="en-CA"/>
        </w:rPr>
        <w:fldChar w:fldCharType="end"/>
      </w:r>
      <w:r w:rsidRPr="00D120AC">
        <w:rPr>
          <w:color w:val="000000" w:themeColor="text1"/>
          <w:vertAlign w:val="superscript"/>
          <w:lang w:val="en-CA"/>
        </w:rPr>
        <w:t>,</w:t>
      </w:r>
      <w:r w:rsidRPr="00D120AC">
        <w:rPr>
          <w:color w:val="000000" w:themeColor="text1"/>
          <w:vertAlign w:val="superscript"/>
          <w:lang w:val="en-CA"/>
        </w:rPr>
        <w:fldChar w:fldCharType="begin" w:fldLock="1"/>
      </w:r>
      <w:r w:rsidRPr="00D120AC">
        <w:rPr>
          <w:color w:val="000000" w:themeColor="text1"/>
          <w:vertAlign w:val="superscript"/>
          <w:lang w:val="en-CA"/>
        </w:rPr>
        <w:instrText>ADDIN CSL_CITATION {"citationItems":[{"id":"ITEM-1","itemData":{"DOI":"10.1007/s10570-017-1421-8","ISSN":"1572882X","abstract":"This paper reviews the recent developments of cellulose materials for lithium-ion battery separators. The contents are organized according to the preparation methods such as coating, casting, electrospinning, phase inversion and papermaking. The focus is on the properties of cellulose materials, research approaches, and the outlook of the applications of cellulose materials for lithium-ion batteries.","author":[{"dropping-particle":"","family":"Sheng","given":"Jie","non-dropping-particle":"","parse-names":false,"suffix":""},{"dropping-particle":"","family":"Tong","given":"Shuhua","non-dropping-particle":"","parse-names":false,"suffix":""},{"dropping-particle":"","family":"He","given":"Zhibin","non-dropping-particle":"","parse-names":false,"suffix":""},{"dropping-particle":"","family":"Yang","given":"Rendang","non-dropping-particle":"","parse-names":false,"suffix":""}],"container-title":"Cellulose","id":"ITEM-1","issue":"10","issued":{"date-parts":[["2017"]]},"page":"4103-4122","publisher":"Springer Netherlands","title":"Recent developments of cellulose materials for lithium-ion battery separators","type":"article-journal","volume":"24"},"uris":["http://www.mendeley.com/documents/?uuid=90b96761-2759-481f-85a2-fea8c62cfbce"]},{"id":"ITEM-2","itemData":{"DOI":"10.1016/j.mattod.2018.02.001","ISSN":"18734103","abstract":"Nanocelluloses are natural materials with at least one dimension in the nano-scale. They combine important cellulose properties with the features of nanomaterials and open new horizons for materials science and its applications. The field of nanocellulose materials is subdivided into three domains: biotechnologically produced bacterial nanocellulose hydrogels, mechanically delaminated cellulose nanofibers, and hydrolytically extracted cellulose nanocrystals. This review article describes today's state regarding the production, structural details, physicochemical properties, and innovative applications of these nanocelluloses. Promising technical applications including gels/foams, thickeners/stabilizers as well as reinforcing agents have been proposed and research from last five years indicates new potential for groundbreaking innovations in the areas of cosmetic products, wound dressings, drug carriers, medical implants, tissue engineering, food and composites. The current state of worldwide commercialization and the challenge of reducing nanocellulose production costs are also discussed.","author":[{"dropping-particle":"","family":"Klemm","given":"Dieter","non-dropping-particle":"","parse-names":false,"suffix":""},{"dropping-particle":"","family":"Cranston","given":"Emily D.","non-dropping-particle":"","parse-names":false,"suffix":""},{"dropping-particle":"","family":"Fischer","given":"Dagmar","non-dropping-particle":"","parse-names":false,"suffix":""},{"dropping-particle":"","family":"Gama","given":"Miguel","non-dropping-particle":"","parse-names":false,"suffix":""},{"dropping-particle":"","family":"Kedzior","given":"Stephanie A.","non-dropping-particle":"","parse-names":false,"suffix":""},{"dropping-particle":"","family":"Kralisch","given":"Dana","non-dropping-particle":"","parse-names":false,"suffix":""},{"dropping-particle":"","family":"Kramer","given":"Friederike","non-dropping-particle":"","parse-names":false,"suffix":""},{"dropping-particle":"","family":"Kondo","given":"Tetsuo","non-dropping-particle":"","parse-names":false,"suffix":""},{"dropping-particle":"","family":"Lindström","given":"Tom","non-dropping-particle":"","parse-names":false,"suffix":""},{"dropping-particle":"","family":"Nietzsche","given":"Sandor","non-dropping-particle":"","parse-names":false,"suffix":""},{"dropping-particle":"","family":"Petzold-Welcke","given":"Katrin","non-dropping-particle":"","parse-names":false,"suffix":""},{"dropping-particle":"","family":"Rauchfuß","given":"Falk","non-dropping-particle":"","parse-names":false,"suffix":""}],"container-title":"Materials Today","id":"ITEM-2","issue":"7","issued":{"date-parts":[["2018"]]},"page":"720-748","publisher":"Elsevier Ltd","title":"Nanocellulose as a natural source for groundbreaking applications in materials science: Today's state","type":"article-journal","volume":"21"},"uris":["http://www.mendeley.com/documents/?uuid=d499728b-2e2b-447b-8509-c2622b61253b"]}],"mendeley":{"formattedCitation":"[9], [10]","plainTextFormattedCitation":"[9], [10]","previouslyFormattedCitation":"[9], [10]"},"properties":{"noteIndex":0},"schema":"https://github.com/citation-style-language/schema/raw/master/csl-citation.json"}</w:instrText>
      </w:r>
      <w:r w:rsidRPr="00D120AC">
        <w:rPr>
          <w:color w:val="000000" w:themeColor="text1"/>
          <w:vertAlign w:val="superscript"/>
          <w:lang w:val="en-CA"/>
        </w:rPr>
        <w:fldChar w:fldCharType="separate"/>
      </w:r>
      <w:r w:rsidRPr="00D120AC">
        <w:rPr>
          <w:noProof/>
          <w:color w:val="000000" w:themeColor="text1"/>
          <w:vertAlign w:val="superscript"/>
          <w:lang w:val="en-CA"/>
        </w:rPr>
        <w:t>9,10</w:t>
      </w:r>
      <w:r w:rsidRPr="00D120AC">
        <w:rPr>
          <w:color w:val="000000" w:themeColor="text1"/>
          <w:vertAlign w:val="superscript"/>
          <w:lang w:val="en-CA"/>
        </w:rPr>
        <w:fldChar w:fldCharType="end"/>
      </w:r>
      <w:r w:rsidRPr="00D120AC">
        <w:rPr>
          <w:color w:val="000000" w:themeColor="text1"/>
          <w:lang w:val="en-CA"/>
        </w:rPr>
        <w:t xml:space="preserve"> </w:t>
      </w:r>
      <w:r w:rsidRPr="00D120AC">
        <w:rPr>
          <w:lang w:val="en-CA"/>
        </w:rPr>
        <w:t xml:space="preserve">In general, </w:t>
      </w:r>
      <w:r w:rsidRPr="00D120AC">
        <w:rPr>
          <w:color w:val="000000" w:themeColor="text1"/>
          <w:lang w:val="en-CA"/>
        </w:rPr>
        <w:t>solid electrolytes</w:t>
      </w:r>
      <w:r w:rsidRPr="00D120AC">
        <w:rPr>
          <w:lang w:val="en-CA"/>
        </w:rPr>
        <w:t xml:space="preserve"> can be divided into two main subgroups: inorganic solid electrolytes,</w:t>
      </w:r>
      <w:r w:rsidRPr="00D120AC">
        <w:rPr>
          <w:vertAlign w:val="superscript"/>
          <w:lang w:val="en-CA"/>
        </w:rPr>
        <w:fldChar w:fldCharType="begin" w:fldLock="1"/>
      </w:r>
      <w:r w:rsidRPr="00D120AC">
        <w:rPr>
          <w:vertAlign w:val="superscript"/>
          <w:lang w:val="en-CA"/>
        </w:rPr>
        <w:instrText>ADDIN CSL_CITATION {"citationItems":[{"id":"ITEM-1","itemData":{"DOI":"10.1021/jz501828v","ISSN":"19487185","abstract":"Lithium ion batteries are the most promising energy storage system on the market today; however, safety issues associated with the use of flammable organic polymer-based electrolytes with poor electrochemical and chemical stabilities prevent this technology from reaching maturity. Solid lithium ion electrolytes (SLIEs) are being considered as potential replacements for the organic electrolytes to develop all-solid-state Li ion batteries. Out of the recently discovered SLIEs, the garnet-related structured Li-stuffed metal oxides are the most promising electrolytes due to their high total (bulk + grain boundary) Li ion conductivity, high electrochemical stability window (</w:instrText>
      </w:r>
      <w:r w:rsidRPr="00D120AC">
        <w:rPr>
          <w:rFonts w:ascii="Cambria Math" w:hAnsi="Cambria Math" w:cs="Cambria Math"/>
          <w:vertAlign w:val="superscript"/>
          <w:lang w:val="en-CA"/>
        </w:rPr>
        <w:instrText>∼</w:instrText>
      </w:r>
      <w:r w:rsidRPr="00D120AC">
        <w:rPr>
          <w:vertAlign w:val="superscript"/>
          <w:lang w:val="en-CA"/>
        </w:rPr>
        <w:instrText xml:space="preserve">6 V versus Li&lt;sup&gt;+&lt;/sup&gt;/Li at room temperature), and chemical stability against reaction with an elemental Li anode and high-voltage metal oxide Li cathodes. This Perspective discusses the structural-chemical composition-ionic conductivity relationship of Li-stuffed garnets, followed by a discussion on the Li ion conduction mechanism, as well as the electrochemical and chemical stability of these materials. The performance of a number of all-solid-state batteries employing garnet-type Li ion electrolytes is also discussed. (Figure Presented).","author":[{"dropping-particle":"","family":"Thangadurai","given":"Venkataraman","non-dropping-particle":"","parse-names":false,"suffix":""},{"dropping-particle":"","family":"Pinzaru","given":"Dana","non-dropping-particle":"","parse-names":false,"suffix":""},{"dropping-particle":"","family":"Narayanan","given":"Sumaletha","non-dropping-particle":"","parse-names":false,"suffix":""},{"dropping-particle":"","family":"Baral","given":"Ashok Kumar","non-dropping-particle":"","parse-names":false,"suffix":""}],"container-title":"Journal of Physical Chemistry Letters","id":"ITEM-1","issue":"2","issued":{"date-parts":[["2015"]]},"page":"292-299","title":"Fast Solid-State Li Ion Conducting Garnet-Type Structure Metal Oxides for Energy Storage","type":"article-journal","volume":"6"},"uris":["http://www.mendeley.com/documents/?uuid=3fceef6a-957c-4edf-8850-d2c6c076c70c"]},{"id":"ITEM-2","itemData":{"DOI":"10.1039/c5ta03239c","ISSN":"20507496","abstract":"Ga-doped Li7La3Zr2O12 garnet structures are among the most promising electrolytes for all-solid state Li-ion-batteries. The synthesis and processing of garnet-type fast Li-ion conductors depend on conventional sol-gel and solid state syntheses and sintering that are usually done at temperatures above 1050 °C to reach the high Li-ion conducting cubic phase. This process results in micron-sized particles and potential Li-loss, which are unfavorable for further processing and electrode-electrolyte assembly. Here, we tackle this problem and report a novel low temperature synthesis-processing route to stabilize the cubic phase of Li7La3Zr2O12, while keeping the nanocrystallites at </w:instrText>
      </w:r>
      <w:r w:rsidRPr="00D120AC">
        <w:rPr>
          <w:rFonts w:ascii="Cambria Math" w:hAnsi="Cambria Math" w:cs="Cambria Math"/>
          <w:vertAlign w:val="superscript"/>
          <w:lang w:val="en-CA"/>
        </w:rPr>
        <w:instrText>∼</w:instrText>
      </w:r>
      <w:r w:rsidRPr="00D120AC">
        <w:rPr>
          <w:vertAlign w:val="superscript"/>
          <w:lang w:val="en-CA"/>
        </w:rPr>
        <w:instrText xml:space="preserve">200-300 nm. Li7La3Zr2O12 phases are obtained at temperatures as low as 600 °C by a modified sol-gel combustion method utilizing mainly nitrate precursors, and the sintering temperature is lowered by </w:instrText>
      </w:r>
      <w:r w:rsidRPr="00D120AC">
        <w:rPr>
          <w:rFonts w:ascii="Cambria Math" w:hAnsi="Cambria Math" w:cs="Cambria Math"/>
          <w:vertAlign w:val="superscript"/>
          <w:lang w:val="en-CA"/>
        </w:rPr>
        <w:instrText>∼</w:instrText>
      </w:r>
      <w:r w:rsidRPr="00D120AC">
        <w:rPr>
          <w:vertAlign w:val="superscript"/>
          <w:lang w:val="en-CA"/>
        </w:rPr>
        <w:instrText xml:space="preserve">200 °C compared to the state-of-art. Through a new model experiment, we also shed light on the conditions influencing the tetragonal to cubic phase transformation via homogeneous Ga-diffusion and incorporation occurring at a surprisingly low temperature of </w:instrText>
      </w:r>
      <w:r w:rsidRPr="00D120AC">
        <w:rPr>
          <w:rFonts w:ascii="Cambria Math" w:hAnsi="Cambria Math" w:cs="Cambria Math"/>
          <w:vertAlign w:val="superscript"/>
          <w:lang w:val="en-CA"/>
        </w:rPr>
        <w:instrText>∼</w:instrText>
      </w:r>
      <w:r w:rsidRPr="00D120AC">
        <w:rPr>
          <w:vertAlign w:val="superscript"/>
          <w:lang w:val="en-CA"/>
        </w:rPr>
        <w:instrText xml:space="preserve">100 °C for a post-annealing step. The sintered pellets of the newly obtained Li6.4Ga0.2La3Zr2O12 deliver high bulk Li-ion conductivities in the range of </w:instrText>
      </w:r>
      <w:r w:rsidRPr="00D120AC">
        <w:rPr>
          <w:rFonts w:ascii="Cambria Math" w:hAnsi="Cambria Math" w:cs="Cambria Math"/>
          <w:vertAlign w:val="superscript"/>
          <w:lang w:val="en-CA"/>
        </w:rPr>
        <w:instrText>∼</w:instrText>
      </w:r>
      <w:r w:rsidRPr="00D120AC">
        <w:rPr>
          <w:vertAlign w:val="superscript"/>
          <w:lang w:val="en-CA"/>
        </w:rPr>
        <w:instrText xml:space="preserve">4.0 × 10-4 S cm-1 at 20 °C, and a wide thermal operation window is accessible through its characteristic activation energy of </w:instrText>
      </w:r>
      <w:r w:rsidRPr="00D120AC">
        <w:rPr>
          <w:rFonts w:ascii="Cambria Math" w:hAnsi="Cambria Math" w:cs="Cambria Math"/>
          <w:vertAlign w:val="superscript"/>
          <w:lang w:val="en-CA"/>
        </w:rPr>
        <w:instrText>∼</w:instrText>
      </w:r>
      <w:r w:rsidRPr="00D120AC">
        <w:rPr>
          <w:vertAlign w:val="superscript"/>
          <w:lang w:val="en-CA"/>
        </w:rPr>
        <w:instrText>0.32 eV. We report that there is an optimum in sintering-processing conditions for the cubic c-Li6.4Ga0.2La3Zr2O12 solid state electrolytes and their Li-ionic conductivity and the (Raman) near order characteristics that can be tracked through changes in Li-O vibrational modes. Based on this alternative route, low-temperature synthesized powders can be sintered to relatively dense pellets at around only 950 °C. At higher sintering temperatures (e.g. 1100 °C), Li-losses progress as confirmed by structural studies and a reduction of both ceramic pellet density and ionic conductivity, as well as distortions in the Li-sublattice, are found. Through this work, an alternative low temperature processing route for Ga-doped Li7La3Zr2O12 garnet type electrolytes for all-solid state batteries is suggested. The new synthesis method and the use of c-Li6.4Ga0.2La3Zr2O12 nanoparticles could open pathways in terms of preventing Li-loss during the process and advancing future solid electrolyte-electrode assembly options for all-solid state Li-ion batteries.","author":[{"dropping-particle":"","family":"Afyon","given":"Semih","non-dropping-particle":"","parse-names":false,"suffix":""},{"dropping-particle":"","family":"Krumeich","given":"Frank","non-dropping-particle":"","parse-names":false,"suffix":""},{"dropping-particle":"","family":"Rupp","given":"Jennifer L.M.","non-dropping-particle":"","parse-names":false,"suffix":""}],"container-title":"Journal of Materials Chemistry A","id":"ITEM-2","issue":"36","issued":{"date-parts":[["2015"]]},"page":"18636-18648","publisher":"Royal Society of Chemistry","title":"A shortcut to garnet-type fast Li-ion conductors for all-solid state batteries","type":"article-journal","volume":"3"},"uris":["http://www.mendeley.com/documents/?uuid=dbf3854e-0834-4072-8265-ffe94fc87670"]}],"mendeley":{"formattedCitation":"[11], [12]","plainTextFormattedCitation":"[11], [12]","previouslyFormattedCitation":"[11], [12]"},"properties":{"noteIndex":0},"schema":"https://github.com/citation-style-language/schema/raw/master/csl-citation.json"}</w:instrText>
      </w:r>
      <w:r w:rsidRPr="00D120AC">
        <w:rPr>
          <w:vertAlign w:val="superscript"/>
          <w:lang w:val="en-CA"/>
        </w:rPr>
        <w:fldChar w:fldCharType="separate"/>
      </w:r>
      <w:r w:rsidRPr="00D120AC">
        <w:rPr>
          <w:noProof/>
          <w:vertAlign w:val="superscript"/>
          <w:lang w:val="en-CA"/>
        </w:rPr>
        <w:t>11,12</w:t>
      </w:r>
      <w:r w:rsidRPr="00D120AC">
        <w:rPr>
          <w:vertAlign w:val="superscript"/>
          <w:lang w:val="en-CA"/>
        </w:rPr>
        <w:fldChar w:fldCharType="end"/>
      </w:r>
      <w:r w:rsidRPr="00D120AC">
        <w:rPr>
          <w:lang w:val="en-CA"/>
        </w:rPr>
        <w:t xml:space="preserve"> and organic solid electrolytes based on polymers such as poly(ethylene oxide) (PEO), poly(vinylidene fluoride), polyacrylonitrile (PAN) and polyvinyl alcohol (PVA).</w:t>
      </w:r>
      <w:r w:rsidRPr="00D120AC">
        <w:rPr>
          <w:vertAlign w:val="superscript"/>
          <w:lang w:val="en-CA"/>
        </w:rPr>
        <w:fldChar w:fldCharType="begin" w:fldLock="1"/>
      </w:r>
      <w:r w:rsidRPr="00D120AC">
        <w:rPr>
          <w:vertAlign w:val="superscript"/>
          <w:lang w:val="en-CA"/>
        </w:rPr>
        <w:instrText>ADDIN CSL_CITATION {"citationItems":[{"id":"ITEM-1","itemData":{"DOI":"10.1007/s11581-016-1908-6","ISBN":"1158101619","ISSN":"18620760","abstract":"Polymer electrolytes (PEs) are an essential component\nbeing used in most energy storage/conversion devices.\nThe present review article on a brief history, advantage,\nand their brief application of polymer electrolyte\nsystems. It consists of a glimpse on liquid, gel, and solid\npolymer electrolyte and a contrast comparison concerning\nbenefits/disadvantages among the three. The article started\nwith a brief introduction of polymer electrolytes followed\nby their varieties and extreme uses. The role of host polymer\nmatrix by taking numerous examples of polymer\nelectrolyte published by the different renowned group of\nthe concerned field has been explored. The criteria for\nselection of appropriate host polymer, salt, inorganic filler/\nclay, and aprotic solvents to be used in polymer electrolyte\nhave been discussed in detail. The mostly used\npolymer, salt, solvents, and inorganic filler/clay list has\nbeen prepared in order to keep the data bank at one place\nfor new researchers. This article comprises different methodologies\nfor the preparation of polymer electrolyte films.\nThe different self-proposed mechanisms (like VTF, WLF,\nfree volume theory, dispersed/intercalated mechanisms,\netc.) have been discussed in order to explain the lithium\nion conduction in polymer electrolyte systems. A numerous\ncharacterization techniques and their resulting analysis\nhave been summarized from the different published\nreports at one place for better awareness of the scientific\ncommunity/reader of the area.","author":[{"dropping-particle":"","family":"Arya","given":"Anil","non-dropping-particle":"","parse-names":false,"suffix":""},{"dropping-particle":"","family":"Sharma","given":"A. L.","non-dropping-particle":"","parse-names":false,"suffix":""}],"container-title":"Ionics","id":"ITEM-1","issue":"3","issued":{"date-parts":[["2017"]]},"number-of-pages":"497-540","publisher":"Ionics","title":"Polymer electrolytes for lithium ion batteries: a critical study","type":"book","volume":"23"},"uris":["http://www.mendeley.com/documents/?uuid=b970990d-a5bd-4f60-b2b9-519f34a8ff70"]},{"id":"ITEM-2","itemData":{"DOI":"10.1016/j.jsamd.2018.01.002","ISSN":"24682179","abstract":"This review article provides a deep insight into the ion conduction mechanism in polymer electrolytes (PEs). The concepts of different categories of polymer electrolytes are discussed. The significance of the existence of functional (polar) groups on the backbone of host polymers, which are used in polymer electrolytes, is well explained. The working principle of electrical impedance spectroscopy (EIS) is overviewed. The relationship between impedance plots and equivalent circuits, which are crucial for electrical characterization, is extensively interpreted. Based on the patterns of dc conductivity (σdc) versus 1000/T, the ion transport models of Arrhenius and Vogel–Tammann–Fulcher (VTF) are discussed. Effects of coupling and decoupling between ionic motion and polymer segmental relaxation are analyzed. The important role of dielectric constant on cationic transport in PEs is also explained. The relationships existing between electrical and dielectric parameters are elucidated, which help interpret and understand the ion conduction mechanism. From the reported empirical curves of dc conductivity vs. dielectric constant, the reformulated Arrhenius [σdc(T)=σ0exp(−[Formula presented])] equation is proposed. Finally, other important phenomena, occurring in polymer electrolytes, are shown to be understandable from the dielectric constant studies.","author":[{"dropping-particle":"","family":"Aziz","given":"Shujahadeen B.","non-dropping-particle":"","parse-names":false,"suffix":""},{"dropping-particle":"","family":"Woo","given":"Thompson J.","non-dropping-particle":"","parse-names":false,"suffix":""},{"dropping-particle":"","family":"Kadir","given":"M. F.Z.","non-dropping-particle":"","parse-names":false,"suffix":""},{"dropping-particle":"","family":"Ahmed","given":"Hameed M.","non-dropping-particle":"","parse-names":false,"suffix":""}],"container-title":"Journal of Science: Advanced Materials and Devices","id":"ITEM-2","issue":"1","issued":{"date-parts":[["2018"]]},"page":"1-17","publisher":"Elsevier Ltd","title":"A conceptual review on polymer electrolytes and ion transport models","type":"article-journal","volume":"3"},"uris":["http://www.mendeley.com/documents/?uuid=d3cf9440-e835-4925-9896-f1810237a46c"]},{"id":"ITEM-3","itemData":{"DOI":"10.1021/acs.macromol.9b02742","ISSN":"15205835","abstract":"We present a brief overview of current developments in the field of polymer electrolytes, with the focus on single-ion conducting polymers. The latter have significant advantages relative to electrolytes with dual-ion conductivity for use in energy storage devices. First we discuss various mechanisms of ionic conductivity in polymers and fundamental limitations imposed by these mechanisms. We also emphasize the role of ion-ion correlations in conductivity that are not negligible in concentrated and semidilute ionic systems. Next we discuss several classes of polymer electrolytes (gels, block copolymers, and composites) that are already employed or have good potential to be employed in current battery technologies. At the end we discuss perspectives for the design of dry single-ion conducting polymer electrolytes with required room temperature conductivity.","author":[{"dropping-particle":"","family":"Bocharova","given":"V.","non-dropping-particle":"","parse-names":false,"suffix":""},{"dropping-particle":"","family":"Sokolov","given":"A. P.","non-dropping-particle":"","parse-names":false,"suffix":""}],"container-title":"Macromolecules","id":"ITEM-3","issue":"11","issued":{"date-parts":[["2020"]]},"page":"4141-4157","title":"Perspectives for Polymer Electrolytes: A View from Fundamentals of Ionic Conductivity","type":"article-journal","volume":"53"},"uris":["http://www.mendeley.com/documents/?uuid=e72e9709-75fb-47d8-860d-77bbf3b6474f"]}],"mendeley":{"formattedCitation":"[6]–[8]","plainTextFormattedCitation":"[6]–[8]","previouslyFormattedCitation":"[6]–[8]"},"properties":{"noteIndex":0},"schema":"https://github.com/citation-style-language/schema/raw/master/csl-citation.json"}</w:instrText>
      </w:r>
      <w:r w:rsidRPr="00D120AC">
        <w:rPr>
          <w:vertAlign w:val="superscript"/>
          <w:lang w:val="en-CA"/>
        </w:rPr>
        <w:fldChar w:fldCharType="separate"/>
      </w:r>
      <w:r w:rsidRPr="00D120AC">
        <w:rPr>
          <w:noProof/>
          <w:vertAlign w:val="superscript"/>
          <w:lang w:val="en-CA"/>
        </w:rPr>
        <w:t>6-8</w:t>
      </w:r>
      <w:r w:rsidRPr="00D120AC">
        <w:rPr>
          <w:vertAlign w:val="superscript"/>
          <w:lang w:val="en-CA"/>
        </w:rPr>
        <w:fldChar w:fldCharType="end"/>
      </w:r>
      <w:r w:rsidRPr="00D120AC">
        <w:rPr>
          <w:lang w:val="en-CA"/>
        </w:rPr>
        <w:t xml:space="preserve"> Among the inorganic solid electrolytes, garnet type electrolytes are widely studied as Li ion conductors due to their high ionic conductivity at 25 </w:t>
      </w:r>
      <w:r w:rsidRPr="00D120AC">
        <w:rPr>
          <w:color w:val="000000" w:themeColor="text1"/>
          <w:lang w:val="en-CA"/>
        </w:rPr>
        <w:t>º</w:t>
      </w:r>
      <w:r w:rsidRPr="00D120AC">
        <w:rPr>
          <w:lang w:val="en-CA"/>
        </w:rPr>
        <w:t>C (up to 10</w:t>
      </w:r>
      <w:r w:rsidRPr="00D120AC">
        <w:rPr>
          <w:vertAlign w:val="superscript"/>
          <w:lang w:val="en-CA"/>
        </w:rPr>
        <w:t>-3</w:t>
      </w:r>
      <w:r w:rsidRPr="00D120AC">
        <w:rPr>
          <w:lang w:val="en-CA"/>
        </w:rPr>
        <w:t xml:space="preserve"> S cm</w:t>
      </w:r>
      <w:r w:rsidRPr="00D120AC">
        <w:rPr>
          <w:vertAlign w:val="superscript"/>
          <w:lang w:val="en-CA"/>
        </w:rPr>
        <w:t>-1</w:t>
      </w:r>
      <w:r w:rsidRPr="00D120AC">
        <w:rPr>
          <w:lang w:val="en-CA"/>
        </w:rPr>
        <w:t>), wide potential window, infinitesimal electronic transport, and electrochemical stability against the Li anode.</w:t>
      </w:r>
      <w:r w:rsidRPr="00D120AC">
        <w:rPr>
          <w:vertAlign w:val="superscript"/>
          <w:lang w:val="en-CA"/>
        </w:rPr>
        <w:fldChar w:fldCharType="begin" w:fldLock="1"/>
      </w:r>
      <w:r w:rsidRPr="00D120AC">
        <w:rPr>
          <w:vertAlign w:val="superscript"/>
          <w:lang w:val="en-CA"/>
        </w:rPr>
        <w:instrText>ADDIN CSL_CITATION {"citationItems":[{"id":"ITEM-1","itemData":{"DOI":"10.1021/jz501828v","ISSN":"19487185","abstract":"Lithium ion batteries are the most promising energy storage system on the market today; however, safety issues associated with the use of flammable organic polymer-based electrolytes with poor electrochemical and chemical stabilities prevent this technology from reaching maturity. Solid lithium ion electrolytes (SLIEs) are being considered as potential replacements for the organic electrolytes to develop all-solid-state Li ion batteries. Out of the recently discovered SLIEs, the garnet-related structured Li-stuffed metal oxides are the most promising electrolytes due to their high total (bulk + grain boundary) Li ion conductivity, high electrochemical stability window (</w:instrText>
      </w:r>
      <w:r w:rsidRPr="00D120AC">
        <w:rPr>
          <w:rFonts w:ascii="Cambria Math" w:hAnsi="Cambria Math" w:cs="Cambria Math"/>
          <w:vertAlign w:val="superscript"/>
          <w:lang w:val="en-CA"/>
        </w:rPr>
        <w:instrText>∼</w:instrText>
      </w:r>
      <w:r w:rsidRPr="00D120AC">
        <w:rPr>
          <w:vertAlign w:val="superscript"/>
          <w:lang w:val="en-CA"/>
        </w:rPr>
        <w:instrText xml:space="preserve">6 V versus Li&lt;sup&gt;+&lt;/sup&gt;/Li at room temperature), and chemical stability against reaction with an elemental Li anode and high-voltage metal oxide Li cathodes. This Perspective discusses the structural-chemical composition-ionic conductivity relationship of Li-stuffed garnets, followed by a discussion on the Li ion conduction mechanism, as well as the electrochemical and chemical stability of these materials. The performance of a number of all-solid-state batteries employing garnet-type Li ion electrolytes is also discussed. (Figure Presented).","author":[{"dropping-particle":"","family":"Thangadurai","given":"Venkataraman","non-dropping-particle":"","parse-names":false,"suffix":""},{"dropping-particle":"","family":"Pinzaru","given":"Dana","non-dropping-particle":"","parse-names":false,"suffix":""},{"dropping-particle":"","family":"Narayanan","given":"Sumaletha","non-dropping-particle":"","parse-names":false,"suffix":""},{"dropping-particle":"","family":"Baral","given":"Ashok Kumar","non-dropping-particle":"","parse-names":false,"suffix":""}],"container-title":"Journal of Physical Chemistry Letters","id":"ITEM-1","issue":"2","issued":{"date-parts":[["2015"]]},"page":"292-299","title":"Fast Solid-State Li Ion Conducting Garnet-Type Structure Metal Oxides for Energy Storage","type":"article-journal","volume":"6"},"uris":["http://www.mendeley.com/documents/?uuid=3fceef6a-957c-4edf-8850-d2c6c076c70c"]},{"id":"ITEM-2","itemData":{"DOI":"10.1039/c5ta03239c","ISSN":"20507496","abstract":"Ga-doped Li7La3Zr2O12 garnet structures are among the most promising electrolytes for all-solid state Li-ion-batteries. The synthesis and processing of garnet-type fast Li-ion conductors depend on conventional sol-gel and solid state syntheses and sintering that are usually done at temperatures above 1050 °C to reach the high Li-ion conducting cubic phase. This process results in micron-sized particles and potential Li-loss, which are unfavorable for further processing and electrode-electrolyte assembly. Here, we tackle this problem and report a novel low temperature synthesis-processing route to stabilize the cubic phase of Li7La3Zr2O12, while keeping the nanocrystallites at </w:instrText>
      </w:r>
      <w:r w:rsidRPr="00D120AC">
        <w:rPr>
          <w:rFonts w:ascii="Cambria Math" w:hAnsi="Cambria Math" w:cs="Cambria Math"/>
          <w:vertAlign w:val="superscript"/>
          <w:lang w:val="en-CA"/>
        </w:rPr>
        <w:instrText>∼</w:instrText>
      </w:r>
      <w:r w:rsidRPr="00D120AC">
        <w:rPr>
          <w:vertAlign w:val="superscript"/>
          <w:lang w:val="en-CA"/>
        </w:rPr>
        <w:instrText xml:space="preserve">200-300 nm. Li7La3Zr2O12 phases are obtained at temperatures as low as 600 °C by a modified sol-gel combustion method utilizing mainly nitrate precursors, and the sintering temperature is lowered by </w:instrText>
      </w:r>
      <w:r w:rsidRPr="00D120AC">
        <w:rPr>
          <w:rFonts w:ascii="Cambria Math" w:hAnsi="Cambria Math" w:cs="Cambria Math"/>
          <w:vertAlign w:val="superscript"/>
          <w:lang w:val="en-CA"/>
        </w:rPr>
        <w:instrText>∼</w:instrText>
      </w:r>
      <w:r w:rsidRPr="00D120AC">
        <w:rPr>
          <w:vertAlign w:val="superscript"/>
          <w:lang w:val="en-CA"/>
        </w:rPr>
        <w:instrText xml:space="preserve">200 °C compared to the state-of-art. Through a new model experiment, we also shed light on the conditions influencing the tetragonal to cubic phase transformation via homogeneous Ga-diffusion and incorporation occurring at a surprisingly low temperature of </w:instrText>
      </w:r>
      <w:r w:rsidRPr="00D120AC">
        <w:rPr>
          <w:rFonts w:ascii="Cambria Math" w:hAnsi="Cambria Math" w:cs="Cambria Math"/>
          <w:vertAlign w:val="superscript"/>
          <w:lang w:val="en-CA"/>
        </w:rPr>
        <w:instrText>∼</w:instrText>
      </w:r>
      <w:r w:rsidRPr="00D120AC">
        <w:rPr>
          <w:vertAlign w:val="superscript"/>
          <w:lang w:val="en-CA"/>
        </w:rPr>
        <w:instrText xml:space="preserve">100 °C for a post-annealing step. The sintered pellets of the newly obtained Li6.4Ga0.2La3Zr2O12 deliver high bulk Li-ion conductivities in the range of </w:instrText>
      </w:r>
      <w:r w:rsidRPr="00D120AC">
        <w:rPr>
          <w:rFonts w:ascii="Cambria Math" w:hAnsi="Cambria Math" w:cs="Cambria Math"/>
          <w:vertAlign w:val="superscript"/>
          <w:lang w:val="en-CA"/>
        </w:rPr>
        <w:instrText>∼</w:instrText>
      </w:r>
      <w:r w:rsidRPr="00D120AC">
        <w:rPr>
          <w:vertAlign w:val="superscript"/>
          <w:lang w:val="en-CA"/>
        </w:rPr>
        <w:instrText xml:space="preserve">4.0 × 10-4 S cm-1 at 20 °C, and a wide thermal operation window is accessible through its characteristic activation energy of </w:instrText>
      </w:r>
      <w:r w:rsidRPr="00D120AC">
        <w:rPr>
          <w:rFonts w:ascii="Cambria Math" w:hAnsi="Cambria Math" w:cs="Cambria Math"/>
          <w:vertAlign w:val="superscript"/>
          <w:lang w:val="en-CA"/>
        </w:rPr>
        <w:instrText>∼</w:instrText>
      </w:r>
      <w:r w:rsidRPr="00D120AC">
        <w:rPr>
          <w:vertAlign w:val="superscript"/>
          <w:lang w:val="en-CA"/>
        </w:rPr>
        <w:instrText>0.32 eV. We report that there is an optimum in sintering-processing conditions for the cubic c-Li6.4Ga0.2La3Zr2O12 solid state electrolytes and their Li-ionic conductivity and the (Raman) near order characteristics that can be tracked through changes in Li-O vibrational modes. Based on this alternative route, low-temperature synthesized powders can be sintered to relatively dense pellets at around only 950 °C. At higher sintering temperatures (e.g. 1100 °C), Li-losses progress as confirmed by structural studies and a reduction of both ceramic pellet density and ionic conductivity, as well as distortions in the Li-sublattice, are found. Through this work, an alternative low temperature processing route for Ga-doped Li7La3Zr2O12 garnet type electrolytes for all-solid state batteries is suggested. The new synthesis method and the use of c-Li6.4Ga0.2La3Zr2O12 nanoparticles could open pathways in terms of preventing Li-loss during the process and advancing future solid electrolyte-electrode assembly options for all-solid state Li-ion batteries.","author":[{"dropping-particle":"","family":"Afyon","given":"Semih","non-dropping-particle":"","parse-names":false,"suffix":""},{"dropping-particle":"","family":"Krumeich","given":"Frank","non-dropping-particle":"","parse-names":false,"suffix":""},{"dropping-particle":"","family":"Rupp","given":"Jennifer L.M.","non-dropping-particle":"","parse-names":false,"suffix":""}],"container-title":"Journal of Materials Chemistry A","id":"ITEM-2","issue":"36","issued":{"date-parts":[["2015"]]},"page":"18636-18648","publisher":"Royal Society of Chemistry","title":"A shortcut to garnet-type fast Li-ion conductors for all-solid state batteries","type":"article-journal","volume":"3"},"uris":["http://www.mendeley.com/documents/?uuid=dbf3854e-0834-4072-8265-ffe94fc87670"]}],"mendeley":{"formattedCitation":"[11], [12]","plainTextFormattedCitation":"[11], [12]","previouslyFormattedCitation":"[11], [12]"},"properties":{"noteIndex":0},"schema":"https://github.com/citation-style-language/schema/raw/master/csl-citation.json"}</w:instrText>
      </w:r>
      <w:r w:rsidRPr="00D120AC">
        <w:rPr>
          <w:vertAlign w:val="superscript"/>
          <w:lang w:val="en-CA"/>
        </w:rPr>
        <w:fldChar w:fldCharType="separate"/>
      </w:r>
      <w:r w:rsidRPr="00D120AC">
        <w:rPr>
          <w:noProof/>
          <w:vertAlign w:val="superscript"/>
          <w:lang w:val="en-CA"/>
        </w:rPr>
        <w:t>11,12</w:t>
      </w:r>
      <w:r w:rsidRPr="00D120AC">
        <w:rPr>
          <w:vertAlign w:val="superscript"/>
          <w:lang w:val="en-CA"/>
        </w:rPr>
        <w:fldChar w:fldCharType="end"/>
      </w:r>
      <w:r w:rsidRPr="00D120AC">
        <w:rPr>
          <w:lang w:val="en-CA"/>
        </w:rPr>
        <w:t xml:space="preserve"> The major flaws of oxide-based </w:t>
      </w:r>
      <w:r w:rsidRPr="00D120AC">
        <w:rPr>
          <w:color w:val="000000" w:themeColor="text1"/>
          <w:lang w:val="en-CA"/>
        </w:rPr>
        <w:t>solid electrolytes</w:t>
      </w:r>
      <w:r w:rsidRPr="00D120AC">
        <w:rPr>
          <w:lang w:val="en-CA"/>
        </w:rPr>
        <w:t xml:space="preserve"> are their rigidity and brittleness which cause poor mechanical contact with the electrode, resulting in high interfacial charge transfer resistance.</w:t>
      </w:r>
      <w:r w:rsidRPr="00D120AC">
        <w:rPr>
          <w:vertAlign w:val="superscript"/>
          <w:lang w:val="en-CA"/>
        </w:rPr>
        <w:fldChar w:fldCharType="begin" w:fldLock="1"/>
      </w:r>
      <w:r w:rsidRPr="00D120AC">
        <w:rPr>
          <w:vertAlign w:val="superscript"/>
          <w:lang w:val="en-CA"/>
        </w:rPr>
        <w:instrText>ADDIN CSL_CITATION {"citationItems":[{"id":"ITEM-1","itemData":{"DOI":"10.1021/jz501828v","ISSN":"19487185","abstract":"Lithium ion batteries are the most promising energy storage system on the market today; however, safety issues associated with the use of flammable organic polymer-based electrolytes with poor electrochemical and chemical stabilities prevent this technology from reaching maturity. Solid lithium ion electrolytes (SLIEs) are being considered as potential replacements for the organic electrolytes to develop all-solid-state Li ion batteries. Out of the recently discovered SLIEs, the garnet-related structured Li-stuffed metal oxides are the most promising electrolytes due to their high total (bulk + grain boundary) Li ion conductivity, high electrochemical stability window (</w:instrText>
      </w:r>
      <w:r w:rsidRPr="00D120AC">
        <w:rPr>
          <w:rFonts w:ascii="Cambria Math" w:hAnsi="Cambria Math" w:cs="Cambria Math"/>
          <w:vertAlign w:val="superscript"/>
          <w:lang w:val="en-CA"/>
        </w:rPr>
        <w:instrText>∼</w:instrText>
      </w:r>
      <w:r w:rsidRPr="00D120AC">
        <w:rPr>
          <w:vertAlign w:val="superscript"/>
          <w:lang w:val="en-CA"/>
        </w:rPr>
        <w:instrText xml:space="preserve">6 V versus Li&lt;sup&gt;+&lt;/sup&gt;/Li at room temperature), and chemical stability against reaction with an elemental Li anode and high-voltage metal oxide Li cathodes. This Perspective discusses the structural-chemical composition-ionic conductivity relationship of Li-stuffed garnets, followed by a discussion on the Li ion conduction mechanism, as well as the electrochemical and chemical stability of these materials. The performance of a number of all-solid-state batteries employing garnet-type Li ion electrolytes is also discussed. (Figure Presented).","author":[{"dropping-particle":"","family":"Thangadurai","given":"Venkataraman","non-dropping-particle":"","parse-names":false,"suffix":""},{"dropping-particle":"","family":"Pinzaru","given":"Dana","non-dropping-particle":"","parse-names":false,"suffix":""},{"dropping-particle":"","family":"Narayanan","given":"Sumaletha","non-dropping-particle":"","parse-names":false,"suffix":""},{"dropping-particle":"","family":"Baral","given":"Ashok Kumar","non-dropping-particle":"","parse-names":false,"suffix":""}],"container-title":"Journal of Physical Chemistry Letters","id":"ITEM-1","issue":"2","issued":{"date-parts":[["2015"]]},"page":"292-299","title":"Fast Solid-State Li Ion Conducting Garnet-Type Structure Metal Oxides for Energy Storage","type":"article-journal","volume":"6"},"uris":["http://www.mendeley.com/documents/?uuid=3fceef6a-957c-4edf-8850-d2c6c076c70c"]},{"id":"ITEM-2","itemData":{"DOI":"10.1039/c5ta03239c","ISSN":"20507496","abstract":"Ga-doped Li7La3Zr2O12 garnet structures are among the most promising electrolytes for all-solid state Li-ion-batteries. The synthesis and processing of garnet-type fast Li-ion conductors depend on conventional sol-gel and solid state syntheses and sintering that are usually done at temperatures above 1050 °C to reach the high Li-ion conducting cubic phase. This process results in micron-sized particles and potential Li-loss, which are unfavorable for further processing and electrode-electrolyte assembly. Here, we tackle this problem and report a novel low temperature synthesis-processing route to stabilize the cubic phase of Li7La3Zr2O12, while keeping the nanocrystallites at </w:instrText>
      </w:r>
      <w:r w:rsidRPr="00D120AC">
        <w:rPr>
          <w:rFonts w:ascii="Cambria Math" w:hAnsi="Cambria Math" w:cs="Cambria Math"/>
          <w:vertAlign w:val="superscript"/>
          <w:lang w:val="en-CA"/>
        </w:rPr>
        <w:instrText>∼</w:instrText>
      </w:r>
      <w:r w:rsidRPr="00D120AC">
        <w:rPr>
          <w:vertAlign w:val="superscript"/>
          <w:lang w:val="en-CA"/>
        </w:rPr>
        <w:instrText xml:space="preserve">200-300 nm. Li7La3Zr2O12 phases are obtained at temperatures as low as 600 °C by a modified sol-gel combustion method utilizing mainly nitrate precursors, and the sintering temperature is lowered by </w:instrText>
      </w:r>
      <w:r w:rsidRPr="00D120AC">
        <w:rPr>
          <w:rFonts w:ascii="Cambria Math" w:hAnsi="Cambria Math" w:cs="Cambria Math"/>
          <w:vertAlign w:val="superscript"/>
          <w:lang w:val="en-CA"/>
        </w:rPr>
        <w:instrText>∼</w:instrText>
      </w:r>
      <w:r w:rsidRPr="00D120AC">
        <w:rPr>
          <w:vertAlign w:val="superscript"/>
          <w:lang w:val="en-CA"/>
        </w:rPr>
        <w:instrText xml:space="preserve">200 °C compared to the state-of-art. Through a new model experiment, we also shed light on the conditions influencing the tetragonal to cubic phase transformation via homogeneous Ga-diffusion and incorporation occurring at a surprisingly low temperature of </w:instrText>
      </w:r>
      <w:r w:rsidRPr="00D120AC">
        <w:rPr>
          <w:rFonts w:ascii="Cambria Math" w:hAnsi="Cambria Math" w:cs="Cambria Math"/>
          <w:vertAlign w:val="superscript"/>
          <w:lang w:val="en-CA"/>
        </w:rPr>
        <w:instrText>∼</w:instrText>
      </w:r>
      <w:r w:rsidRPr="00D120AC">
        <w:rPr>
          <w:vertAlign w:val="superscript"/>
          <w:lang w:val="en-CA"/>
        </w:rPr>
        <w:instrText xml:space="preserve">100 °C for a post-annealing step. The sintered pellets of the newly obtained Li6.4Ga0.2La3Zr2O12 deliver high bulk Li-ion conductivities in the range of </w:instrText>
      </w:r>
      <w:r w:rsidRPr="00D120AC">
        <w:rPr>
          <w:rFonts w:ascii="Cambria Math" w:hAnsi="Cambria Math" w:cs="Cambria Math"/>
          <w:vertAlign w:val="superscript"/>
          <w:lang w:val="en-CA"/>
        </w:rPr>
        <w:instrText>∼</w:instrText>
      </w:r>
      <w:r w:rsidRPr="00D120AC">
        <w:rPr>
          <w:vertAlign w:val="superscript"/>
          <w:lang w:val="en-CA"/>
        </w:rPr>
        <w:instrText xml:space="preserve">4.0 × 10-4 S cm-1 at 20 °C, and a wide thermal operation window is accessible through its characteristic activation energy of </w:instrText>
      </w:r>
      <w:r w:rsidRPr="00D120AC">
        <w:rPr>
          <w:rFonts w:ascii="Cambria Math" w:hAnsi="Cambria Math" w:cs="Cambria Math"/>
          <w:vertAlign w:val="superscript"/>
          <w:lang w:val="en-CA"/>
        </w:rPr>
        <w:instrText>∼</w:instrText>
      </w:r>
      <w:r w:rsidRPr="00D120AC">
        <w:rPr>
          <w:vertAlign w:val="superscript"/>
          <w:lang w:val="en-CA"/>
        </w:rPr>
        <w:instrText>0.32 eV. We report that there is an optimum in sintering-processing conditions for the cubic c-Li6.4Ga0.2La3Zr2O12 solid state electrolytes and their Li-ionic conductivity and the (Raman) near order characteristics that can be tracked through changes in Li-O vibrational modes. Based on this alternative route, low-temperature synthesized powders can be sintered to relatively dense pellets at around only 950 °C. At higher sintering temperatures (e.g. 1100 °C), Li-losses progress as confirmed by structural studies and a reduction of both ceramic pellet density and ionic conductivity, as well as distortions in the Li-sublattice, are found. Through this work, an alternative low temperature processing route for Ga-doped Li7La3Zr2O12 garnet type electrolytes for all-solid state batteries is suggested. The new synthesis method and the use of c-Li6.4Ga0.2La3Zr2O12 nanoparticles could open pathways in terms of preventing Li-loss during the process and advancing future solid electrolyte-electrode assembly options for all-solid state Li-ion batteries.","author":[{"dropping-particle":"","family":"Afyon","given":"Semih","non-dropping-particle":"","parse-names":false,"suffix":""},{"dropping-particle":"","family":"Krumeich","given":"Frank","non-dropping-particle":"","parse-names":false,"suffix":""},{"dropping-particle":"","family":"Rupp","given":"Jennifer L.M.","non-dropping-particle":"","parse-names":false,"suffix":""}],"container-title":"Journal of Materials Chemistry A","id":"ITEM-2","issue":"36","issued":{"date-parts":[["2015"]]},"page":"18636-18648","publisher":"Royal Society of Chemistry","title":"A shortcut to garnet-type fast Li-ion conductors for all-solid state batteries","type":"article-journal","volume":"3"},"uris":["http://www.mendeley.com/documents/?uuid=dbf3854e-0834-4072-8265-ffe94fc87670"]},{"id":"ITEM-3","itemData":{"DOI":"10.1149/1.3474232","ISSN":"00134651","abstract":"Electrochemical properties of Li7La3Zr2 O12 (LLZ) were investigated to reveal its availability as a solid electrolyte for all-solid-state rechargeable batteries with a Li metal anode. After calcination at 1230°C, a well-sintered LLZ pellet with a garnet-like structure was obtained, and its conductivity was 1.8 × 10-4 S cm-1 at room temperature. The cyclic voltammogram of the Li/LLZ/Li cell showed that the dissolution and deposition reactions of lithium occurred reversibly without any reaction with LLZ. This indicates that a Li metal anode can be applied for an LLZ system. A full cell composed of a LiCoO2 /LLZ/Li configuration was also operated successfully at expected voltage estimated from the redox potential of Li metal and LiCoO2. Simultaneously, an irreversible behavior was observed at the first discharge and charge cycle due to an interfacial problem between LiCoO2 and LLZ. The discharge capacity of the full cell was 15 μA h cm-2. These results reveal that LLZ is available for all-solid-state lithium batteries. © 2010 The Electrochemical Society.","author":[{"dropping-particle":"","family":"Kotobuki","given":"Masashi","non-dropping-particle":"","parse-names":false,"suffix":""},{"dropping-particle":"","family":"Munakata","given":"Hirokazu","non-dropping-particle":"","parse-names":false,"suffix":""},{"dropping-particle":"","family":"Kanamura","given":"Kiyoshi","non-dropping-particle":"","parse-names":false,"suffix":""},{"dropping-particle":"","family":"Sato","given":"Yosuke","non-dropping-particle":"","parse-names":false,"suffix":""},{"dropping-particle":"","family":"Yoshida","given":"Toshihiro","non-dropping-particle":"","parse-names":false,"suffix":""}],"container-title":"Journal of The Electrochemical Society","id":"ITEM-3","issue":"10","issued":{"date-parts":[["2010"]]},"page":"A1076","title":"Compatibility of Li[sub 7]La[sub 3]Zr[sub 2]O[sub 12] Solid Electrolyte to All-Solid-State Battery Using Li Metal Anode","type":"article-journal","volume":"157"},"uris":["http://www.mendeley.com/documents/?uuid=78990065-d3a4-47d6-ad64-8b13a376b95a"]}],"mendeley":{"formattedCitation":"[11]–[13]","plainTextFormattedCitation":"[11]–[13]","previouslyFormattedCitation":"[11]–[13]"},"properties":{"noteIndex":0},"schema":"https://github.com/citation-style-language/schema/raw/master/csl-citation.json"}</w:instrText>
      </w:r>
      <w:r w:rsidRPr="00D120AC">
        <w:rPr>
          <w:vertAlign w:val="superscript"/>
          <w:lang w:val="en-CA"/>
        </w:rPr>
        <w:fldChar w:fldCharType="separate"/>
      </w:r>
      <w:r w:rsidRPr="00D120AC">
        <w:rPr>
          <w:noProof/>
          <w:vertAlign w:val="superscript"/>
          <w:lang w:val="en-CA"/>
        </w:rPr>
        <w:t>11–13</w:t>
      </w:r>
      <w:r w:rsidRPr="00D120AC">
        <w:rPr>
          <w:vertAlign w:val="superscript"/>
          <w:lang w:val="en-CA"/>
        </w:rPr>
        <w:fldChar w:fldCharType="end"/>
      </w:r>
      <w:r w:rsidRPr="00D120AC">
        <w:rPr>
          <w:lang w:val="en-CA"/>
        </w:rPr>
        <w:t xml:space="preserve"> In addition, the presence of pores in oxide-based </w:t>
      </w:r>
      <w:r w:rsidRPr="00D120AC">
        <w:rPr>
          <w:color w:val="000000" w:themeColor="text1"/>
          <w:lang w:val="en-CA"/>
        </w:rPr>
        <w:t xml:space="preserve">solid electrolytes </w:t>
      </w:r>
      <w:r w:rsidRPr="00D120AC">
        <w:rPr>
          <w:lang w:val="en-CA"/>
        </w:rPr>
        <w:t xml:space="preserve">provide favourable pathways for Li dendrite </w:t>
      </w:r>
      <w:r w:rsidRPr="00D120AC">
        <w:rPr>
          <w:lang w:val="en-CA"/>
        </w:rPr>
        <w:lastRenderedPageBreak/>
        <w:t>growth, despite their superior mechanical integrity.</w:t>
      </w:r>
      <w:r w:rsidRPr="00D120AC">
        <w:rPr>
          <w:vertAlign w:val="superscript"/>
          <w:lang w:val="en-CA"/>
        </w:rPr>
        <w:fldChar w:fldCharType="begin" w:fldLock="1"/>
      </w:r>
      <w:r w:rsidRPr="00D120AC">
        <w:rPr>
          <w:vertAlign w:val="superscript"/>
          <w:lang w:val="en-CA"/>
        </w:rPr>
        <w:instrText>ADDIN CSL_CITATION {"citationItems":[{"id":"ITEM-1","itemData":{"DOI":"10.1002/admi.201900186","ISSN":"21967350","abstract":"While all-solid-state Li metal batteries based on ceramic solid-electrolytes offer higher energy density and better safety features over their liquid counterparts, critical challenges in their design such as high electrode–electrolyte interface resistance and formation of Li-dendrites still remain unsolved. To address the issues, an intimate contact between Li and the solid-state electrolyte is necessary. Herein, a flexible and mechanically robust polymer membrane comprising of poly(ethylene oxide), lithium perchlorate, and garnet particles is used as an interlayer between Li metal and garnet ceramic electrolyte. The Li salt enhances the ionic conductivity of the membranes and ensures their flexible nature while garnet particles enhance their mechanical strength. The cells comprising of composite membranes results in four times smaller charge transfer resistance at the interface and demonstrate stable and reversible Li plating/stripping voltage profiles. Further, the polymer composite membrane mechanically blocks the formation of Li dendrites at reasonably high currents (0.1 mA cm−2) in the structures even after prolonged cycling (140 h) owing to their enhanced toughness. With smaller charge transfer resistance (≈400 Ω cm2 at room temperature), stability at extended periods of cycling and no Li-dendrite formations, the structures can prove a viable electrolyte candidate for advanced solid-state Li metal batteries.","author":[{"dropping-particle":"","family":"Pervez","given":"Syed Atif","non-dropping-particle":"","parse-names":false,"suffix":""},{"dropping-particle":"","family":"Ganjeh-Anzabi","given":"Pejman","non-dropping-particle":"","parse-names":false,"suffix":""},{"dropping-particle":"","family":"Farooq","given":"Umer","non-dropping-particle":"","parse-names":false,"suffix":""},{"dropping-particle":"","family":"Trifkovic","given":"Milana","non-dropping-particle":"","parse-names":false,"suffix":""},{"dropping-particle":"","family":"Roberts","given":"Edward P.L.","non-dropping-particle":"","parse-names":false,"suffix":""},{"dropping-particle":"","family":"Thangadurai","given":"Venkataraman","non-dropping-particle":"","parse-names":false,"suffix":""}],"container-title":"Advanced Materials Interfaces","id":"ITEM-1","issue":"11","issued":{"date-parts":[["2019"]]},"page":"1-10","title":"Fabrication of a Dendrite-Free all Solid-State Li Metal Battery via Polymer Composite/Garnet/Polymer Composite Layered Electrolyte","type":"article-journal","volume":"6"},"uris":["http://www.mendeley.com/documents/?uuid=ed485680-d3b3-4763-9cbd-3a98ac70462e"]}],"mendeley":{"formattedCitation":"[14]","plainTextFormattedCitation":"[14]","previouslyFormattedCitation":"[14]"},"properties":{"noteIndex":0},"schema":"https://github.com/citation-style-language/schema/raw/master/csl-citation.json"}</w:instrText>
      </w:r>
      <w:r w:rsidRPr="00D120AC">
        <w:rPr>
          <w:vertAlign w:val="superscript"/>
          <w:lang w:val="en-CA"/>
        </w:rPr>
        <w:fldChar w:fldCharType="separate"/>
      </w:r>
      <w:r w:rsidRPr="00D120AC">
        <w:rPr>
          <w:noProof/>
          <w:vertAlign w:val="superscript"/>
          <w:lang w:val="en-CA"/>
        </w:rPr>
        <w:t>14</w:t>
      </w:r>
      <w:r w:rsidRPr="00D120AC">
        <w:rPr>
          <w:vertAlign w:val="superscript"/>
          <w:lang w:val="en-CA"/>
        </w:rPr>
        <w:fldChar w:fldCharType="end"/>
      </w:r>
      <w:r w:rsidRPr="00D120AC">
        <w:rPr>
          <w:color w:val="000000" w:themeColor="text1"/>
          <w:lang w:val="en-CA"/>
        </w:rPr>
        <w:t xml:space="preserve"> In comparison, polymer hosts for solid electrolytes such as PEO have several attractive features including a high dielectric constant resulting in strong Li solvating ability, low glass transition temperature of -67 ºC ensuring chain mobility in a wide temperature range,</w:t>
      </w:r>
      <w:r w:rsidRPr="00D120AC">
        <w:rPr>
          <w:rFonts w:eastAsia="AdvOT999035f4"/>
          <w:color w:val="000000" w:themeColor="text1"/>
          <w:vertAlign w:val="superscript"/>
          <w:lang w:val="en-CA"/>
        </w:rPr>
        <w:fldChar w:fldCharType="begin" w:fldLock="1"/>
      </w:r>
      <w:r w:rsidRPr="00D120AC">
        <w:rPr>
          <w:rFonts w:eastAsia="AdvOT999035f4"/>
          <w:color w:val="000000" w:themeColor="text1"/>
          <w:vertAlign w:val="superscript"/>
          <w:lang w:val="en-CA"/>
        </w:rPr>
        <w:instrText>ADDIN CSL_CITATION {"citationItems":[{"id":"ITEM-1","itemData":{"DOI":"10.1002/pi.4980070505","ISSN":"00071641","abstract":"The temperature dependence of d.c. conductivity of poly(ethylene oxide) complexes with sodium iodide and the thiocyanates of sodium, potassium and ammonium has been investigated. In each case a transition to a lower activation energy at higher temperatures was observed. For the sodium complexes this transition occurs at ca 55°C which is well below the crystalline melting points at 200°C. For the potassium and ammonium complexes however, the transitions coincide with the melting points at ca 100 and 70°C respectively. It is proposed that at the transitions, thermal disintegration of complexes in the amorphous regions occurs. The complexes involve coordination of the cations to the ether oxygen atoms in the polymer backbone.","author":[{"dropping-particle":"V.","family":"Wright","given":"Peter","non-dropping-particle":"","parse-names":false,"suffix":""}],"container-title":"British Polymer Journal","id":"ITEM-1","issue":"5","issued":{"date-parts":[["1975"]]},"page":"319-327","title":"Electrical conductivity in ionic complexes of poly(ethylene oxide)","type":"article-journal","volume":"7"},"uris":["http://www.mendeley.com/documents/?uuid=55080b1d-d17b-4e00-81e1-3430170a0997"]},{"id":"ITEM-2","itemData":{"DOI":"10.1007/BF01132415","ISSN":"00222461","abstract":"Films of poly(ethylene oxide)-LiCF3SO3-based complexes containing different amounts of poly(ethylone glycol) (PEG) with molecular weights ranging from 400 to 2000 were prepared by solution casting. The ionic conductivity is presented as a function of temperature, molecular weight and the PEG content used. The conductivity increases with decreasing molecular weight of PEG and with increasing PEG content. The incorporation of PEG with a molecular weight of 600 or less gives rise to a maximum conductivity value of 3 × 10-3 Sm-1 at 25° C. The conductivity enhancement at room temperature can be attributed to the increase in the amorphous regions responsible for the ionic conduction. © 1987 Chapman and Hall Ltd.","author":[{"dropping-particle":"","family":"Ito","given":"Yukio","non-dropping-particle":"","parse-names":false,"suffix":""},{"dropping-particle":"","family":"Kanehori","given":"Keiichi","non-dropping-particle":"","parse-names":false,"suffix":""},{"dropping-particle":"","family":"Miyauchi","given":"Katsuki","non-dropping-particle":"","parse-names":false,"suffix":""},{"dropping-particle":"","family":"Kudo","given":"Tetsuichi","non-dropping-particle":"","parse-names":false,"suffix":""}],"container-title":"Journal of Materials Science","id":"ITEM-2","issue":"5","issued":{"date-parts":[["1987"]]},"page":"1845-1849","title":"Ionic conductivity of electrolytes formed from PEO-LiCF3SO3 complex low molecular weight poly(ethylene glycol)","type":"article-journal","volume":"22"},"uris":["http://www.mendeley.com/documents/?uuid=3af1b9a9-cf5b-49db-abb1-e6a467bce665"]},{"id":"ITEM-3","itemData":{"DOI":"10.1039/c5ta03471j","ISSN":"20507496","abstract":"Poly(ethylene oxide) (PEO) based materials are widely considered as promising candidates of polymer hosts in solid-state electrolytes for high energy density secondary lithium batteries. They have several specific advantages such as high safety, easy fabrication, low cost, high energy density, good electrochemical stability, and excellent compatibility with lithium salts. However, the typical linear PEO does not meet the production requirement because of its insufficient ionic conductivity due to the high crystallinity of the ethylene oxide (EO) chains, which can restrain the ionic transition due to the stiff structure especially at low temperature. Scientists have explored different approaches to reduce the crystallinity and hence to improve the ionic conductivity of PEO-based electrolytes, including blending, modifying and making PEO derivatives. This review is focused on surveying the recent developments and issues concerning PEO-based electrolytes for lithium-ion batteries.","author":[{"dropping-particle":"","family":"Xue","given":"Zhigang","non-dropping-particle":"","parse-names":false,"suffix":""},{"dropping-particle":"","family":"He","given":"Dan","non-dropping-particle":"","parse-names":false,"suffix":""},{"dropping-particle":"","family":"Xie","given":"Xiaolin","non-dropping-particle":"","parse-names":false,"suffix":""}],"container-title":"Journal of Materials Chemistry A","id":"ITEM-3","issue":"38","issued":{"date-parts":[["2015"]]},"page":"19218-19253","publisher":"Royal Society of Chemistry","title":"Poly(ethylene oxide)-based electrolytes for lithium-ion batteries","type":"article-journal","volume":"3"},"uris":["http://www.mendeley.com/documents/?uuid=524e4e08-ba55-4cd1-a938-0835e98482fd"]},{"id":"ITEM-4","itemData":{"DOI":"10.1295/polymj.18.809","ISSN":"13490540","abstract":"The structure-conductivity relationships were investigated on the network polymers from poly(ethylene oxide)(PEO) containing lithium perchlorate (LiClO4), in contrast to the polymer complex formed by linear PEO and LiClO4. The crosslinked structure caused a considerable decrease in the degree of the crystallinity of the resulting PEO–LiClO4 complexes, which contributed to high ionic conductivity. Li+ ions were demonstrated as mobile species in these polymer complexes, while ClO4− ions contributed somewhat to ionic conductivity. The high ionic conductivity of the order of 10−5 Scm1 at 30°C was attained by a crosslinked PEO–LiClO4 complex of [LiClO4]/[EO unit] =0.02. © 1986 The Society of Polymer Science, Japan.","author":[{"dropping-particle":"","family":"Watanabe","given":"Masayoshi","non-dropping-particle":"","parse-names":false,"suffix":""},{"dropping-particle":"","family":"Nagano","given":"Satoshi","non-dropping-particle":"","parse-names":false,"suffix":""},{"dropping-particle":"","family":"Sanui","given":"Kohei","non-dropping-particle":"","parse-names":false,"suffix":""},{"dropping-particle":"","family":"Ogata","given":"Naoya","non-dropping-particle":"","parse-names":false,"suffix":""}],"container-title":"Polymer Journal","id":"ITEM-4","issue":"11","issued":{"date-parts":[["1986"]]},"page":"809-817","title":"Ionic conductivity of network polymers from poly(ethylene oxide) containing lithium perchlorate","type":"article-journal","volume":"18"},"uris":["http://www.mendeley.com/documents/?uuid=369e673f-0ca4-4854-9d94-9b6999a9d708"]},{"id":"ITEM-5","itemData":{"DOI":"10.1038/35104644","ISBN":"0028-0836","ISSN":"0028-0836","PMID":"11713543","abstract":"Technological improvements in rechargeable solid-state batteries are being driven by an ever-increasing demand for portable electronic devices. Lithium-ion batteries are the systems of choice, offering high energy density, flexible and lightweight design, and longer lifespan than comparable battery technologies. We present a brief historical review of the development of lithium-based rechargeable batteries, highlight ongoing research strategies, and discuss the challenges that remain regarding the synthesis, characterization, electrochemical performance and safety of these systems.","author":[{"dropping-particle":"","family":"Armand","given":"M","non-dropping-particle":"","parse-names":false,"suffix":""}],"container-title":"Nature","id":"ITEM-5","issue":"November","issued":{"date-parts":[["2001"]]},"page":"359-367","title":"Nature Lithium Battery","type":"article-journal","volume":"414"},"uris":["http://www.mendeley.com/documents/?uuid=7e56cf16-8af3-41a9-96de-20bddb156cc9"]}],"mendeley":{"formattedCitation":"[1], [15]–[18]","plainTextFormattedCitation":"[1], [15]–[18]","previouslyFormattedCitation":"[1], [15]–[18]"},"properties":{"noteIndex":0},"schema":"https://github.com/citation-style-language/schema/raw/master/csl-citation.json"}</w:instrText>
      </w:r>
      <w:r w:rsidRPr="00D120AC">
        <w:rPr>
          <w:rFonts w:eastAsia="AdvOT999035f4"/>
          <w:color w:val="000000" w:themeColor="text1"/>
          <w:vertAlign w:val="superscript"/>
          <w:lang w:val="en-CA"/>
        </w:rPr>
        <w:fldChar w:fldCharType="separate"/>
      </w:r>
      <w:r w:rsidRPr="00D120AC">
        <w:rPr>
          <w:rFonts w:eastAsia="AdvOT999035f4"/>
          <w:noProof/>
          <w:color w:val="000000" w:themeColor="text1"/>
          <w:vertAlign w:val="superscript"/>
          <w:lang w:val="en-CA"/>
        </w:rPr>
        <w:t>1,15–18</w:t>
      </w:r>
      <w:r w:rsidRPr="00D120AC">
        <w:rPr>
          <w:rFonts w:eastAsia="AdvOT999035f4"/>
          <w:color w:val="000000" w:themeColor="text1"/>
          <w:vertAlign w:val="superscript"/>
          <w:lang w:val="en-CA"/>
        </w:rPr>
        <w:fldChar w:fldCharType="end"/>
      </w:r>
      <w:r w:rsidRPr="00D120AC">
        <w:rPr>
          <w:color w:val="000000" w:themeColor="text1"/>
          <w:lang w:val="en-CA"/>
        </w:rPr>
        <w:t xml:space="preserve"> and compatibility with a wide range of solvents. The ethylene oxide units in PEO have a high donor number for Li ions and are spaced at a favourable distance for ion hoping, both important characteristics for promoting ion transport.</w:t>
      </w:r>
      <w:r w:rsidRPr="00D120AC">
        <w:rPr>
          <w:rFonts w:eastAsia="AdvOT999035f4"/>
          <w:color w:val="000000" w:themeColor="text1"/>
          <w:vertAlign w:val="superscript"/>
          <w:lang w:val="en-CA"/>
        </w:rPr>
        <w:fldChar w:fldCharType="begin" w:fldLock="1"/>
      </w:r>
      <w:r w:rsidRPr="00D120AC">
        <w:rPr>
          <w:rFonts w:eastAsia="AdvOT999035f4"/>
          <w:color w:val="000000" w:themeColor="text1"/>
          <w:vertAlign w:val="superscript"/>
          <w:lang w:val="en-CA"/>
        </w:rPr>
        <w:instrText>ADDIN CSL_CITATION {"citationItems":[{"id":"ITEM-1","itemData":{"DOI":"10.1039/c9me00038k","ISSN":"20589689","abstract":"The use of polymer electrolytes instead of liquid organic systems is considered key for enhancing the safety of lithium batteries and may, in addition, enable the transition to high-energy lithium metal anodes. An intrinsic limitation, however, is their rather low ionic conductivity at ambient temperature. Nonetheless, it has been suggested that this might be overcome by decoupling the ion transport and the segmental relaxation of the coordinating polymer. Here, we provide an overview of the different approaches to achieve such decoupling, including a brief recapitulation of the segmental-relaxation dependent ion conduction mechanism, exemplarily focusing on the archetype of polymer electrolytes-polyethylene oxide (PEO). In fact, while the understanding of the underlying mechanisms has greatly improved within recent years, it remains rather challenging to outperform PEO-based electrolyte systems. Nonetheless, it is not impossible, as highlighted by several examples mentioned herein, especially in consideration of the extremely rich polymer chemistry and with respect to the substantial progress already achieved in designing tailored molecules with well-defined nanostructures.","author":[{"dropping-particle":"","family":"Bresser","given":"Dominic","non-dropping-particle":"","parse-names":false,"suffix":""},{"dropping-particle":"","family":"Lyonnard","given":"Sandrine","non-dropping-particle":"","parse-names":false,"suffix":""},{"dropping-particle":"","family":"Iojoiu","given":"Cristina","non-dropping-particle":"","parse-names":false,"suffix":""},{"dropping-particle":"","family":"Picard","given":"Lionel","non-dropping-particle":"","parse-names":false,"suffix":""},{"dropping-particle":"","family":"Passerini","given":"Stefano","non-dropping-particle":"","parse-names":false,"suffix":""}],"container-title":"Molecular Systems Design and Engineering","id":"ITEM-1","issue":"4","issued":{"date-parts":[["2019"]]},"page":"779-792","publisher":"Royal Society of Chemistry","title":"Decoupling segmental relaxation and ionic conductivity for lithium-ion polymer electrolytes","type":"article-journal","volume":"4"},"uris":["http://www.mendeley.com/documents/?uuid=af6c5f3f-2a46-47cc-91e6-f49cb03517aa"]},{"id":"ITEM-2","itemData":{"DOI":"10.3390/polym11030452","ISSN":"20734360","abstract":"Poly(ethylene oxide) (PEO) is the most widely used polymer in the field of solid polymer electrolytes for batteries. It is well known that the crystallinity of polymer electrolytes strongly affects the ionic conductivity and its electrochemical performance. Nowadays, alternatives to PEO are actively researched in the battery community, showing higher ionic conductivity, electrochemical window, or working temperature range. In this work, we investigated polymer electrolytes based on aliphatic polyethers with a number of methylene units ranging from 2 to 12. Thus, the effect of the lithium bis(trifluoromethanesulfone) imide (LiTFSI) concentration on the crystallization behavior of the new aliphatic polyethers and their ionic conductivity was investigated. In all the cases, the degree of crystallinity and the overall crystallization rate of the polymers decreased drastically with 30 wt % LiTFSI addition. The salt acted as a low molecular diluent to the polyethers according to the expectation of the Flory-Huggins theory for polymer-diluent mixtures. By fitting our results to this theory, the value of the interaction energy density (B) between the polyether and the LiTFSI was calculated, and we show that the value of B must be small to obtain high ionic conductivity electrolytes.","author":[{"dropping-particle":"","family":"Olmedo-Martínez","given":"Jorge L.","non-dropping-particle":"","parse-names":false,"suffix":""},{"dropping-particle":"","family":"Meabe","given":"Leire","non-dropping-particle":"","parse-names":false,"suffix":""},{"dropping-particle":"","family":"Basterretxea","given":"Andere","non-dropping-particle":"","parse-names":false,"suffix":""},{"dropping-particle":"","family":"Mecerreyes","given":"David","non-dropping-particle":"","parse-names":false,"suffix":""},{"dropping-particle":"","family":"Müller","given":"Alejandro J.","non-dropping-particle":"","parse-names":false,"suffix":""}],"container-title":"Polymers","id":"ITEM-2","issue":"3","issued":{"date-parts":[["2019"]]},"title":"Effect of chemical structure and salt concentration on the crystallization and ionic conductivity of aliphatic polyethers","type":"article-journal","volume":"11"},"uris":["http://www.mendeley.com/documents/?uuid=61ae916e-3946-4a7c-83d8-161e9e7f64e6"]}],"mendeley":{"formattedCitation":"[19], [20]","plainTextFormattedCitation":"[19], [20]","previouslyFormattedCitation":"[19], [20]"},"properties":{"noteIndex":0},"schema":"https://github.com/citation-style-language/schema/raw/master/csl-citation.json"}</w:instrText>
      </w:r>
      <w:r w:rsidRPr="00D120AC">
        <w:rPr>
          <w:rFonts w:eastAsia="AdvOT999035f4"/>
          <w:color w:val="000000" w:themeColor="text1"/>
          <w:vertAlign w:val="superscript"/>
          <w:lang w:val="en-CA"/>
        </w:rPr>
        <w:fldChar w:fldCharType="separate"/>
      </w:r>
      <w:r w:rsidRPr="00D120AC">
        <w:rPr>
          <w:rFonts w:eastAsia="AdvOT999035f4"/>
          <w:noProof/>
          <w:color w:val="000000" w:themeColor="text1"/>
          <w:vertAlign w:val="superscript"/>
          <w:lang w:val="en-CA"/>
        </w:rPr>
        <w:t>19, 20</w:t>
      </w:r>
      <w:r w:rsidRPr="00D120AC">
        <w:rPr>
          <w:rFonts w:eastAsia="AdvOT999035f4"/>
          <w:color w:val="000000" w:themeColor="text1"/>
          <w:vertAlign w:val="superscript"/>
          <w:lang w:val="en-CA"/>
        </w:rPr>
        <w:fldChar w:fldCharType="end"/>
      </w:r>
      <w:r w:rsidRPr="00D120AC">
        <w:rPr>
          <w:color w:val="000000" w:themeColor="text1"/>
          <w:lang w:val="en-CA"/>
        </w:rPr>
        <w:t xml:space="preserve"> However, PEO is a semi-crystalline polymer, and whilst the amorphous phase with flexible chain segments aids ion transport,</w:t>
      </w:r>
      <w:r w:rsidRPr="00D120AC">
        <w:rPr>
          <w:rFonts w:eastAsia="AdvOT999035f4"/>
          <w:color w:val="000000" w:themeColor="text1"/>
          <w:vertAlign w:val="superscript"/>
          <w:lang w:val="en-CA"/>
        </w:rPr>
        <w:fldChar w:fldCharType="begin" w:fldLock="1"/>
      </w:r>
      <w:r w:rsidRPr="00D120AC">
        <w:rPr>
          <w:rFonts w:eastAsia="AdvOT999035f4"/>
          <w:color w:val="000000" w:themeColor="text1"/>
          <w:vertAlign w:val="superscript"/>
          <w:lang w:val="en-CA"/>
        </w:rPr>
        <w:instrText>ADDIN CSL_CITATION {"citationItems":[{"id":"ITEM-1","itemData":{"DOI":"10.1039/c9me00038k","ISSN":"20589689","abstract":"The use of polymer electrolytes instead of liquid organic systems is considered key for enhancing the safety of lithium batteries and may, in addition, enable the transition to high-energy lithium metal anodes. An intrinsic limitation, however, is their rather low ionic conductivity at ambient temperature. Nonetheless, it has been suggested that this might be overcome by decoupling the ion transport and the segmental relaxation of the coordinating polymer. Here, we provide an overview of the different approaches to achieve such decoupling, including a brief recapitulation of the segmental-relaxation dependent ion conduction mechanism, exemplarily focusing on the archetype of polymer electrolytes-polyethylene oxide (PEO). In fact, while the understanding of the underlying mechanisms has greatly improved within recent years, it remains rather challenging to outperform PEO-based electrolyte systems. Nonetheless, it is not impossible, as highlighted by several examples mentioned herein, especially in consideration of the extremely rich polymer chemistry and with respect to the substantial progress already achieved in designing tailored molecules with well-defined nanostructures.","author":[{"dropping-particle":"","family":"Bresser","given":"Dominic","non-dropping-particle":"","parse-names":false,"suffix":""},{"dropping-particle":"","family":"Lyonnard","given":"Sandrine","non-dropping-particle":"","parse-names":false,"suffix":""},{"dropping-particle":"","family":"Iojoiu","given":"Cristina","non-dropping-particle":"","parse-names":false,"suffix":""},{"dropping-particle":"","family":"Picard","given":"Lionel","non-dropping-particle":"","parse-names":false,"suffix":""},{"dropping-particle":"","family":"Passerini","given":"Stefano","non-dropping-particle":"","parse-names":false,"suffix":""}],"container-title":"Molecular Systems Design and Engineering","id":"ITEM-1","issue":"4","issued":{"date-parts":[["2019"]]},"page":"779-792","publisher":"Royal Society of Chemistry","title":"Decoupling segmental relaxation and ionic conductivity for lithium-ion polymer electrolytes","type":"article-journal","volume":"4"},"uris":["http://www.mendeley.com/documents/?uuid=af6c5f3f-2a46-47cc-91e6-f49cb03517aa"]},{"id":"ITEM-2","itemData":{"DOI":"10.3390/polym11030452","ISSN":"20734360","abstract":"Poly(ethylene oxide) (PEO) is the most widely used polymer in the field of solid polymer electrolytes for batteries. It is well known that the crystallinity of polymer electrolytes strongly affects the ionic conductivity and its electrochemical performance. Nowadays, alternatives to PEO are actively researched in the battery community, showing higher ionic conductivity, electrochemical window, or working temperature range. In this work, we investigated polymer electrolytes based on aliphatic polyethers with a number of methylene units ranging from 2 to 12. Thus, the effect of the lithium bis(trifluoromethanesulfone) imide (LiTFSI) concentration on the crystallization behavior of the new aliphatic polyethers and their ionic conductivity was investigated. In all the cases, the degree of crystallinity and the overall crystallization rate of the polymers decreased drastically with 30 wt % LiTFSI addition. The salt acted as a low molecular diluent to the polyethers according to the expectation of the Flory-Huggins theory for polymer-diluent mixtures. By fitting our results to this theory, the value of the interaction energy density (B) between the polyether and the LiTFSI was calculated, and we show that the value of B must be small to obtain high ionic conductivity electrolytes.","author":[{"dropping-particle":"","family":"Olmedo-Martínez","given":"Jorge L.","non-dropping-particle":"","parse-names":false,"suffix":""},{"dropping-particle":"","family":"Meabe","given":"Leire","non-dropping-particle":"","parse-names":false,"suffix":""},{"dropping-particle":"","family":"Basterretxea","given":"Andere","non-dropping-particle":"","parse-names":false,"suffix":""},{"dropping-particle":"","family":"Mecerreyes","given":"David","non-dropping-particle":"","parse-names":false,"suffix":""},{"dropping-particle":"","family":"Müller","given":"Alejandro J.","non-dropping-particle":"","parse-names":false,"suffix":""}],"container-title":"Polymers","id":"ITEM-2","issue":"3","issued":{"date-parts":[["2019"]]},"title":"Effect of chemical structure and salt concentration on the crystallization and ionic conductivity of aliphatic polyethers","type":"article-journal","volume":"11"},"uris":["http://www.mendeley.com/documents/?uuid=61ae916e-3946-4a7c-83d8-161e9e7f64e6"]}],"mendeley":{"formattedCitation":"[19], [20]","plainTextFormattedCitation":"[19], [20]","previouslyFormattedCitation":"[19], [20]"},"properties":{"noteIndex":0},"schema":"https://github.com/citation-style-language/schema/raw/master/csl-citation.json"}</w:instrText>
      </w:r>
      <w:r w:rsidRPr="00D120AC">
        <w:rPr>
          <w:rFonts w:eastAsia="AdvOT999035f4"/>
          <w:color w:val="000000" w:themeColor="text1"/>
          <w:vertAlign w:val="superscript"/>
          <w:lang w:val="en-CA"/>
        </w:rPr>
        <w:fldChar w:fldCharType="separate"/>
      </w:r>
      <w:r w:rsidRPr="00D120AC">
        <w:rPr>
          <w:rFonts w:eastAsia="AdvOT999035f4"/>
          <w:noProof/>
          <w:color w:val="000000" w:themeColor="text1"/>
          <w:vertAlign w:val="superscript"/>
          <w:lang w:val="en-CA"/>
        </w:rPr>
        <w:t>19,20</w:t>
      </w:r>
      <w:r w:rsidRPr="00D120AC">
        <w:rPr>
          <w:rFonts w:eastAsia="AdvOT999035f4"/>
          <w:color w:val="000000" w:themeColor="text1"/>
          <w:vertAlign w:val="superscript"/>
          <w:lang w:val="en-CA"/>
        </w:rPr>
        <w:fldChar w:fldCharType="end"/>
      </w:r>
      <w:r w:rsidRPr="00D120AC">
        <w:rPr>
          <w:color w:val="000000" w:themeColor="text1"/>
          <w:lang w:val="en-CA"/>
        </w:rPr>
        <w:t xml:space="preserve"> it fails to supress Li dendrite growth, especially in its fully amorphous viscoelastic liquid form at elevated temperatures. In contrast, crystalline PEO regions with slow polymer chain dynamics obstruct ion transport, but contribute to mechanical strength below melting temperatures.</w:t>
      </w:r>
      <w:r w:rsidRPr="00D120AC">
        <w:rPr>
          <w:color w:val="000000" w:themeColor="text1"/>
          <w:vertAlign w:val="superscript"/>
          <w:lang w:val="en-CA"/>
        </w:rPr>
        <w:fldChar w:fldCharType="begin" w:fldLock="1"/>
      </w:r>
      <w:r w:rsidRPr="00D120AC">
        <w:rPr>
          <w:color w:val="000000" w:themeColor="text1"/>
          <w:vertAlign w:val="superscript"/>
          <w:lang w:val="en-CA"/>
        </w:rPr>
        <w:instrText>ADDIN CSL_CITATION {"citationItems":[{"id":"ITEM-1","itemData":{"DOI":"10.1016/j.compscitech.2019.107863","ISSN":"02663538","abstract":"Low ionic conductivity and large interfacial impedance between the electrode and electrolyte are the main bottleneck issues of the current solid electrolytes. In this study, a novel 3D hierarchical solid electrolyte was developed to tackle the large interfacial impedance problem. A flexible polyethylene oxide/lithium chlorate (PEO/LiClO4) was in-situ formed inside the 3D porous Li6.28La3Zr2Al0.24O12 (LLZAO) network by simply using a cleanroom wiper as the template. The obtained 3D LLZAO-PEO/LiClO4 composite solid electrolyte exhibited a high ionic conductivity of 2.25 × 10−5 S cm−1 at 30 °C, being 30.7 times higher than that of pristine PEO/LiClO4 electrolyte. The improved ionic conductivity was attributed to the 3D porous LLZAO structure with continuous fast ion transport pathways. In addition, the 3D LLZAO network can effectively inhibited the growth of lithium dendrite, leading to excellent stability and desirable safety during lithium stripping/plating cycling. Furthermore, the all-solid-state LiFePO4/Li battery system based on the obtained 3D LLZAO-PEO/LiClO4 electrolyte showed a high initial discharge specific capacity of 143.8 mAh·g−1 and a high capacity retention of 86% after 200 cycles at 60 °C. This 3D composite solid electrolyte design is very effective in reducing the interfacial impedance and provides a solution for the further development of high-performance solid electrolyte for all-solid-state rechargeable batteries.","author":[{"dropping-particle":"","family":"Fu","given":"Xuelian","non-dropping-particle":"","parse-names":false,"suffix":""},{"dropping-particle":"","family":"Li","given":"Yuchao","non-dropping-particle":"","parse-names":false,"suffix":""},{"dropping-particle":"","family":"Liao","given":"Chengzhu","non-dropping-particle":"","parse-names":false,"suffix":""},{"dropping-particle":"","family":"Gong","given":"Weiping","non-dropping-particle":"","parse-names":false,"suffix":""},{"dropping-particle":"","family":"Yang","given":"Mingyang","non-dropping-particle":"","parse-names":false,"suffix":""},{"dropping-particle":"","family":"Li","given":"Robert Kwok Yiu","non-dropping-particle":"","parse-names":false,"suffix":""},{"dropping-particle":"","family":"Tjong","given":"Sie Chin","non-dropping-particle":"","parse-names":false,"suffix":""},{"dropping-particle":"","family":"Lu","given":"Zhouguang","non-dropping-particle":"","parse-names":false,"suffix":""}],"container-title":"Composites Science and Technology","id":"ITEM-1","issue":"September","issued":{"date-parts":[["2019"]]},"page":"107863","publisher":"Elsevier Ltd","title":"Enhanced electrochemical performance of solid PEO/LiClO4 electrolytes with a 3D porous Li6.28La3Zr2Al0.24O12 network","type":"article-journal","volume":"184"},"uris":["http://www.mendeley.com/documents/?uuid=e2ac2219-7ab2-418f-acdd-ab8eface4280"]},{"id":"ITEM-2","itemData":{"DOI":"10.1039/c9qm00707e","ISSN":"20521537","abstract":"A triazene-p-phenylenediamine-based porous organic polymer (TP-POP) was successfully synthesized and incorporated as a filler in the PEO + LiTFSI matrix. The composite polymer electrolyte (CPE) membranes were characterized via SEM, DSC, TGA and tensile studies. Their electrochemical properties including ionic conductivity and compatibility and dendrite features were also investigated. The ionic conductivity increased by one order magnitude upon the addition of 2 wt% of TP-POP in the polymeric matrix, which was attributed to the formation of a transition Lewis acid-base-type of interaction for Li+-ion hopping. The CPE comprising PEO + LiTFSI + TP-POP exhibited not only higher thermal stability and better interfacial properties but also prevented dendrite growth even after 140 h. Finally, a 2032-type coin cell composed of LiFePO4/CPE/Li was assembled and its cycling performance was analysed for different C rates at 60 °C. Stable cycling was achieved even at the rate of 1C.","author":[{"dropping-particle":"","family":"Angulakshmi","given":"N.","non-dropping-particle":"","parse-names":false,"suffix":""},{"dropping-particle":"","family":"Dhanalakshmi","given":"R. Baby","non-dropping-particle":"","parse-names":false,"suffix":""},{"dropping-particle":"","family":"Kathiresan","given":"Murugavel","non-dropping-particle":"","parse-names":false,"suffix":""},{"dropping-particle":"","family":"Zhou","given":"Yingke","non-dropping-particle":"","parse-names":false,"suffix":""},{"dropping-particle":"","family":"Stephan","given":"A. Manuel","non-dropping-particle":"","parse-names":false,"suffix":""}],"container-title":"Materials Chemistry Frontiers","id":"ITEM-2","issue":"3","issued":{"date-parts":[["2020"]]},"page":"933-940","publisher":"Royal Society of Chemistry","title":"The suppression of lithium dendrites by a triazine-based porous organic polymer-laden PEO-based electrolyte and its application for all-solid-state lithium batteries","type":"article-journal","volume":"4"},"uris":["http://www.mendeley.com/documents/?uuid=7e3b2b4e-f2f4-4885-8614-c464ece0eabb"]}],"mendeley":{"formattedCitation":"[21], [22]","plainTextFormattedCitation":"[21], [22]","previouslyFormattedCitation":"[21], [22]"},"properties":{"noteIndex":0},"schema":"https://github.com/citation-style-language/schema/raw/master/csl-citation.json"}</w:instrText>
      </w:r>
      <w:r w:rsidRPr="00D120AC">
        <w:rPr>
          <w:color w:val="000000" w:themeColor="text1"/>
          <w:vertAlign w:val="superscript"/>
          <w:lang w:val="en-CA"/>
        </w:rPr>
        <w:fldChar w:fldCharType="separate"/>
      </w:r>
      <w:r w:rsidRPr="00D120AC">
        <w:rPr>
          <w:noProof/>
          <w:color w:val="000000" w:themeColor="text1"/>
          <w:vertAlign w:val="superscript"/>
          <w:lang w:val="en-CA"/>
        </w:rPr>
        <w:t>21,22</w:t>
      </w:r>
      <w:r w:rsidRPr="00D120AC">
        <w:rPr>
          <w:color w:val="000000" w:themeColor="text1"/>
          <w:vertAlign w:val="superscript"/>
          <w:lang w:val="en-CA"/>
        </w:rPr>
        <w:fldChar w:fldCharType="end"/>
      </w:r>
    </w:p>
    <w:p w14:paraId="312C26A6" w14:textId="4A03F7E0" w:rsidR="00872A4B" w:rsidRPr="00D57401" w:rsidRDefault="00872A4B" w:rsidP="00872A4B">
      <w:pPr>
        <w:autoSpaceDE w:val="0"/>
        <w:autoSpaceDN w:val="0"/>
        <w:adjustRightInd w:val="0"/>
        <w:spacing w:line="480" w:lineRule="auto"/>
        <w:ind w:firstLine="720"/>
        <w:contextualSpacing/>
        <w:rPr>
          <w:rFonts w:eastAsia="AdvOT999035f4"/>
          <w:lang w:val="en-CA"/>
        </w:rPr>
      </w:pPr>
      <w:r w:rsidRPr="00D120AC">
        <w:rPr>
          <w:color w:val="000000" w:themeColor="text1"/>
          <w:lang w:val="en-CA"/>
        </w:rPr>
        <w:t>To overcome the challenges associated with polymer-based solid electrolytes,</w:t>
      </w:r>
      <w:r w:rsidRPr="00D120AC">
        <w:rPr>
          <w:lang w:val="en-CA"/>
        </w:rPr>
        <w:t xml:space="preserve"> </w:t>
      </w:r>
      <w:r w:rsidRPr="00D120AC">
        <w:rPr>
          <w:color w:val="000000" w:themeColor="text1"/>
          <w:lang w:val="en-CA"/>
        </w:rPr>
        <w:t xml:space="preserve">composite solid </w:t>
      </w:r>
      <w:r w:rsidRPr="00D120AC">
        <w:rPr>
          <w:lang w:val="en-CA"/>
        </w:rPr>
        <w:t xml:space="preserve">polymer electrolytes (CSPEs) </w:t>
      </w:r>
      <w:r w:rsidR="001008D4">
        <w:rPr>
          <w:lang w:val="en-CA"/>
        </w:rPr>
        <w:t xml:space="preserve">and crosslinked polymer based systems </w:t>
      </w:r>
      <w:r w:rsidRPr="00D120AC">
        <w:rPr>
          <w:lang w:val="en-CA"/>
        </w:rPr>
        <w:t>present new design opportunities to meet high ionic conductivity and improved mechanical integrity criteria.</w:t>
      </w:r>
      <w:r w:rsidRPr="00D120AC">
        <w:rPr>
          <w:vertAlign w:val="superscript"/>
          <w:lang w:val="en-CA"/>
        </w:rPr>
        <w:fldChar w:fldCharType="begin" w:fldLock="1"/>
      </w:r>
      <w:r w:rsidRPr="00D120AC">
        <w:rPr>
          <w:vertAlign w:val="superscript"/>
          <w:lang w:val="en-CA"/>
        </w:rPr>
        <w:instrText>ADDIN CSL_CITATION {"citationItems":[{"id":"ITEM-1","itemData":{"DOI":"10.1016/s0167-2738(98)00114-3","ISSN":"01672738","abstract":"Poly(ethylene oxide) (PEO)-based composite polymer electrolytes have been widely studied during the last ten years. At present, systems with room temperature conductivity up to 10-4 ohm-1 cm-1 have been synthesized and tested in electrochemical devices like lithium-ion rechargeable batteries. In this paper, we will chiefly focus on the experimental work, whereas the theoretical models for ion transport will be only summarized. The systems are classified as 'blend-based' and 'mixed-phase' composite electrolytes. We call blend-based systems those systems obtained from homogeneous solutions of two components in an appropriate common solvent. Mixed-phase systems are inhomogeneous mixtures of polymer and inorganic or organic additives not dissolved in a common solvent. Effective Medium Theories (EMT) are useful for modelling the conductivity behaviour in these composite electrolytes. © 1998 Elsevier Science B.V. All rights reserved.","author":[{"dropping-particle":"","family":"Quartarone","given":"Eliana","non-dropping-particle":"","parse-names":false,"suffix":""},{"dropping-particle":"","family":"Mustarelli","given":"Piercarlo","non-dropping-particle":"","parse-names":false,"suffix":""},{"dropping-particle":"","family":"Magistris","given":"Aldo","non-dropping-particle":"","parse-names":false,"suffix":""}],"container-title":"Solid State Ionics","id":"ITEM-1","issue":"1-2","issued":{"date-parts":[["1998"]]},"page":"1-14","title":"PEO-based composite polymer electrolytes","type":"article-journal","volume":"110"},"uris":["http://www.mendeley.com/documents/?uuid=87038eac-b6c9-4bfe-8ceb-30c1facf0435"]},{"id":"ITEM-2","itemData":{"DOI":"10.3389/fchem.2019.00522","ISSN":"22962646","abstract":"Lithium-ion batteries have dominated the high performance and mobile market for last decade. Despite their dominance in many areas, the development of current commercial lithium-ion batteries is experiencing bottlenecks, limited by safety risks such as: leakage, burning, and even explosions due to the low-boiling point organic liquid electrolytes. Solid electrolyte is a promising option to solve or mitigate those issues. Among all solid electrolytes, polymer based solid electrolytes have the advantages of low flammability, good flexibility, excellent thermal stability, and high safety. Numerous researchers have focused on implementing solid polymer based Li-ion batteries with high performance. Nevertheless, low Li-ion conductivity and poor mechanical properties are still the main challenges in its commercial development. In order to tackle the issues and improve the overall performance, composites with external particles are widely investigated to form a polymer-based composite electrolyte. In light of their work, this review discusses the progress of polymer-based composite lithium ion's solid electrolytes. In particular, the structures, ionic conductivities, electrochemical/chemical stabilities, and fabrications of solid polymer electrolytes are introduced in the text and summarized at the end. On the basis of previous work, the perspectives of solid polymer electrolytes are provided especially toward the future of lithium ion batteries.","author":[{"dropping-particle":"","family":"Yao","given":"Penghui","non-dropping-particle":"","parse-names":false,"suffix":""},{"dropping-particle":"","family":"Yu","given":"Haobin","non-dropping-particle":"","parse-names":false,"suffix":""},{"dropping-particle":"","family":"Ding","given":"Zhiyu","non-dropping-particle":"","parse-names":false,"suffix":""},{"dropping-particle":"","family":"Liu","given":"Yanchen","non-dropping-particle":"","parse-names":false,"suffix":""},{"dropping-particle":"","family":"Lu","given":"Juan","non-dropping-particle":"","parse-names":false,"suffix":""},{"dropping-particle":"","family":"Lavorgna","given":"Marino","non-dropping-particle":"","parse-names":false,"suffix":""},{"dropping-particle":"","family":"Wu","given":"Junwei","non-dropping-particle":"","parse-names":false,"suffix":""},{"dropping-particle":"","family":"Liu","given":"Xingjun","non-dropping-particle":"","parse-names":false,"suffix":""}],"container-title":"Frontiers in Chemistry","id":"ITEM-2","issue":"August","issued":{"date-parts":[["2019"]]},"page":"1-17","title":"Review on Polymer-Based Composite Electrolytes for Lithium Batteries","type":"article-journal","volume":"7"},"uris":["http://www.mendeley.com/documents/?uuid=1d0ed2b1-4619-478f-9252-7aeee15be531"]},{"id":"ITEM-3","itemData":{"DOI":"10.1016/j.cplett.2020.137335","ISSN":"00092614","abstract":"In this work, composite membranes consisting of triethylmethylammonium bis(fluorosulfonyl)imide (N1222FSI), poly(ethylene oxide) (PEO) and lithium bis(fluorosulfonyl) imide (LiFSI) have been produced as solid polymer electrolytes (SPEs). The composite SPEs provide good mechanical property, high ionic conductivity at 50 °C, high electrochemical and thermal stability as well as superior interfacial compatibility with lithium metal. Moreover, Li/LiFePO4 cells containing the best-performing SPE exhibit high discharge capacity and excellent cycling performance. The results show that the novel composite SPEs might be promising electrolytes applied in all-solid-state lithium batteries.","author":[{"dropping-particle":"","family":"Wang","given":"Wanwan","non-dropping-particle":"","parse-names":false,"suffix":""},{"dropping-particle":"","family":"Fang","given":"Zhiqiang","non-dropping-particle":"","parse-names":false,"suffix":""},{"dropping-particle":"","family":"Zhao","given":"Ming","non-dropping-particle":"","parse-names":false,"suffix":""},{"dropping-particle":"","family":"Peng","given":"Yan","non-dropping-particle":"","parse-names":false,"suffix":""},{"dropping-particle":"","family":"Zhang","given":"Jiujun","non-dropping-particle":"","parse-names":false,"suffix":""},{"dropping-particle":"","family":"Guan","given":"Shiyou","non-dropping-particle":"","parse-names":false,"suffix":""}],"container-title":"Chemical Physics Letters","id":"ITEM-3","issue":"March","issued":{"date-parts":[["2020"]]},"page":"137335","publisher":"Elsevier","title":"Solid polymer electrolytes based on the composite of PEO–LiFSI and organic ionic plastic crystal","type":"article-journal","volume":"747"},"uris":["http://www.mendeley.com/documents/?uuid=c441b482-c8c6-440b-8ebc-460f9914d42e"]},{"id":"ITEM-4","itemData":{"DOI":"10.1016/j.matdes.2020.108753","ISSN":"18734197","abstract":"The contactless electric–field accomplishes particles alignment in solution allowing free solvent evaporation without electrochemical decomposition. Herein the nanoparticle Li1+xAlxGe2-x(PO4)3(LAGP) Z-direction (out-of-plane) alignment was driven by a contactless electric field within a cross-linked solid electrolyte of poly(ethylene oxide)/poly(ethylene glycol) diacrylate/lithium bis(trifluoromethylsulfonyl)imide (PEO/PEGDA/LiTFSI). The alignment and chain formation of nanoparticles was verified by scanning electron microscope combining with energy dispersive X-ray spectrometry. Benefiting from this Z-direction alignment, LAGP/PEO/PEGDA/LiTFSI membrane possesses enhanced ionic conductivity and improved flexibility. With 20 wt% LAGP loading, 2.7 times ionic conductivity was achieved in the Z- direction and 1.6 times elongation at breaking was obtained along the membrane surface after alignment. This contactless electrical field method is a new strategy to prepare polymer composite membrane with anisotropic property from solvent-containing system.","author":[{"dropping-particle":"","family":"Liu","given":"Jiyan","non-dropping-particle":"","parse-names":false,"suffix":""},{"dropping-particle":"","family":"Fang","given":"Wei","non-dropping-particle":"","parse-names":false,"suffix":""},{"dropping-particle":"","family":"Gao","given":"Shuyu","non-dropping-particle":"","parse-names":false,"suffix":""},{"dropping-particle":"","family":"Chen","given":"Yuwei","non-dropping-particle":"","parse-names":false,"suffix":""},{"dropping-particle":"","family":"Chen","given":"Shaoyun","non-dropping-particle":"","parse-names":false,"suffix":""},{"dropping-particle":"","family":"Hu","given":"Chenlong","non-dropping-particle":"","parse-names":false,"suffix":""},{"dropping-particle":"","family":"Cai","given":"Shaojun","non-dropping-particle":"","parse-names":false,"suffix":""},{"dropping-particle":"","family":"Liu","given":"Zhihong","non-dropping-particle":"","parse-names":false,"suffix":""},{"dropping-particle":"","family":"Liu","given":"Xueqing","non-dropping-particle":"","parse-names":false,"suffix":""}],"container-title":"Materials and Design","id":"ITEM-4","issued":{"date-parts":[["2020"]]},"page":"108753","publisher":"Elsevier Ltd","title":"Contactless electric–field driven Z-alignment of ceramic nanoparticles in polymer electrolyte to enhance ionic conductivity","type":"article-journal","volume":"192"},"uris":["http://www.mendeley.com/documents/?uuid=0b4e41f1-8ed8-41d8-896e-7e89a5abb49d"]},{"id":"ITEM-5","itemData":{"DOI":"10.1007/s10854-019-00801-7","ISSN":"1573482X","abstract":"Lithium metal battery (LMB) is considered to be the most promising next generation secondary battery. However, the low ionic conductivity and high interfacial impedance between solid electrolyte and electrode are the main factors to limit the real application of solid electrolyte in LMBs. In this work, we designed a low resistance LMB with excellent electrochemical performance applying the electrospun poly (ethylene oxide) (PEO) with super low crystallinity as the electrolyte and LiPF 6 in EC/EMC/DMC as the plasticizer. The electrospun PEO shows an ionic conductivity of 1.27 mS cm − 1 at 30 °C, which result from its amorphous region and fibrotic structure to accommodate large amount of liquid electrolyte without leakage. The electrochemical window can be 5.0 V (vs. Li/Li + ). The obtained electrospun PEO presented robust electrochemical surface stability and could effectively restrain the dendrite growth. The Li symmetric cells using electrospun PEO can stably cycle for 800 h without short circuit at 0.1 mA cm − 2 . The study proposed a robust and scalable battery structure with outstanding electrochemical properties.","author":[{"dropping-particle":"","family":"Tian","given":"Hao","non-dropping-particle":"","parse-names":false,"suffix":""},{"dropping-particle":"","family":"Le","given":"Trung Hieu","non-dropping-particle":"","parse-names":false,"suffix":""},{"dropping-particle":"","family":"Yang","given":"Ying","non-dropping-particle":"","parse-names":false,"suffix":""}],"container-title":"Journal of Materials Science: Materials in Electronics","id":"ITEM-5","issue":"5","issued":{"date-parts":[["2019"]]},"page":"5038-5043","publisher":"Springer US","title":"A fibrotic poly (ethylene oxide) polymer electrolyte with high ionic conductivity for stable lithium metal batteries","type":"article-journal","volume":"30"},"uris":["http://www.mendeley.com/documents/?uuid=a43cabb4-fd4b-4434-972c-5869f12c1be9"]},{"id":"ITEM-6","itemData":{"DOI":"10.1002/advs.201903088","ISSN":"21983844","abstract":"Solid composite electrolytes (SCEs) that combine the advantages of solid polymer electrolytes (SPEs) and inorganic ceramic electrolytes (ICEs) present acceptable ionic conductivity, high mechanical strength, and favorable interfacial contact with electrodes, which greatly improve the electrochemical performance of all-solid-state batteries compared to single SPEs and ICEs. However, there are many challenges to overcome before the practical application of SCEs, including the low ionic conductivity less than 10−3 S cm−1 at ambient temperature, poor interfacial stability, and high interfacial resistance, which greatly restrict the room temperature performance. Herein, the advances of SCEs applied in all-solid-state lithium batteries are presented, including the Li ion migration mechanism of SCEs, the strategies to enhance the ionic conductivity of SCEs by various morphologies of ICEs, and construction methods of the low resistance and stable interfaces of SCEs with both cathode and anode. Finally, some typical applications of SCEs in lithium batteries are summarized and future development directions are prospected. This work presents how it is quite significant to further enhance the ionic conductivity of SCEs by developing the novel SPEs with the special morphology of ICEs for advanced all-solid-state lithium batteries.","author":[{"dropping-particle":"","family":"Li","given":"Song","non-dropping-particle":"","parse-names":false,"suffix":""},{"dropping-particle":"","family":"Zhang","given":"Shi Qi","non-dropping-particle":"","parse-names":false,"suffix":""},{"dropping-particle":"","family":"Shen","given":"Lu","non-dropping-particle":"","parse-names":false,"suffix":""},{"dropping-particle":"","family":"Liu","given":"Qi","non-dropping-particle":"","parse-names":false,"suffix":""},{"dropping-particle":"Bin","family":"Ma","given":"Jia","non-dropping-particle":"","parse-names":false,"suffix":""},{"dropping-particle":"","family":"Lv","given":"Wei","non-dropping-particle":"","parse-names":false,"suffix":""},{"dropping-particle":"","family":"He","given":"Yan Bing","non-dropping-particle":"","parse-names":false,"suffix":""},{"dropping-particle":"","family":"Yang","given":"Quan Hong","non-dropping-particle":"","parse-names":false,"suffix":""}],"container-title":"Advanced Science","id":"ITEM-6","issue":"5","issued":{"date-parts":[["2020"]]},"title":"Progress and Perspective of Ceramic/Polymer Composite Solid Electrolytes for Lithium Batteries","type":"article-journal","volume":"7"},"uris":["http://www.mendeley.com/documents/?uuid=8014e9d3-1e95-4e85-a940-ba6f23697203"]}],"mendeley":{"formattedCitation":"[5], [23]–[27]","plainTextFormattedCitation":"[5], [23]–[27]","previouslyFormattedCitation":"[5], [23]–[27]"},"properties":{"noteIndex":0},"schema":"https://github.com/citation-style-language/schema/raw/master/csl-citation.json"}</w:instrText>
      </w:r>
      <w:r w:rsidRPr="00D120AC">
        <w:rPr>
          <w:vertAlign w:val="superscript"/>
          <w:lang w:val="en-CA"/>
        </w:rPr>
        <w:fldChar w:fldCharType="separate"/>
      </w:r>
      <w:r w:rsidRPr="00D120AC">
        <w:rPr>
          <w:noProof/>
          <w:vertAlign w:val="superscript"/>
          <w:lang w:val="en-CA"/>
        </w:rPr>
        <w:t>5,23–34</w:t>
      </w:r>
      <w:r w:rsidRPr="00D120AC">
        <w:rPr>
          <w:vertAlign w:val="superscript"/>
          <w:lang w:val="en-CA"/>
        </w:rPr>
        <w:fldChar w:fldCharType="end"/>
      </w:r>
      <w:r w:rsidRPr="00D120AC">
        <w:rPr>
          <w:lang w:val="en-CA"/>
        </w:rPr>
        <w:t xml:space="preserve"> </w:t>
      </w:r>
      <w:r w:rsidR="001008D4">
        <w:rPr>
          <w:lang w:val="en-CA"/>
        </w:rPr>
        <w:t>For CSPEs a</w:t>
      </w:r>
      <w:r w:rsidRPr="00D120AC">
        <w:rPr>
          <w:lang w:val="en-CA"/>
        </w:rPr>
        <w:t xml:space="preserve"> common approach to improving the polymer electrolyte is the addition of fillers </w:t>
      </w:r>
      <w:r w:rsidRPr="00D120AC">
        <w:rPr>
          <w:rFonts w:eastAsia="AdvOT999035f4"/>
          <w:lang w:val="en-CA"/>
        </w:rPr>
        <w:t>which can impact both the mechanical and electrochemical properties of the resultant CSPEs.</w:t>
      </w:r>
      <w:r w:rsidRPr="00D120AC">
        <w:rPr>
          <w:rFonts w:eastAsia="AdvOT999035f4"/>
          <w:vertAlign w:val="superscript"/>
          <w:lang w:val="en-CA"/>
        </w:rPr>
        <w:t>23,24</w:t>
      </w:r>
      <w:r w:rsidRPr="00D120AC">
        <w:rPr>
          <w:rFonts w:eastAsia="AdvOT999035f4"/>
          <w:lang w:val="en-CA"/>
        </w:rPr>
        <w:t xml:space="preserve"> Improved conductivity is often realized through the introduction of an ionically conductive filler (e.g. garnet-type ceramics) into the host polymer phase.</w:t>
      </w:r>
      <w:r w:rsidRPr="00D120AC">
        <w:rPr>
          <w:rFonts w:eastAsia="AdvOT999035f4"/>
          <w:vertAlign w:val="superscript"/>
          <w:lang w:val="en-CA"/>
        </w:rPr>
        <w:t>24</w:t>
      </w:r>
      <w:r w:rsidRPr="00D120AC">
        <w:rPr>
          <w:rFonts w:eastAsia="AdvOT999035f4"/>
          <w:lang w:val="en-CA"/>
        </w:rPr>
        <w:t xml:space="preserve"> The utilization of conductive fillers has been shown to increase the room temperature ionic conductivity of CPSE by approximately one order of magnitude.</w:t>
      </w:r>
      <w:r w:rsidRPr="00D120AC">
        <w:rPr>
          <w:rFonts w:eastAsia="AdvOT999035f4"/>
          <w:vertAlign w:val="superscript"/>
          <w:lang w:val="en-CA"/>
        </w:rPr>
        <w:t>21,24,26,29,30</w:t>
      </w:r>
      <w:r w:rsidRPr="00D120AC">
        <w:rPr>
          <w:rFonts w:eastAsia="AdvOT999035f4"/>
          <w:lang w:val="en-CA"/>
        </w:rPr>
        <w:t xml:space="preserve"> It was also shown that nonconductive oxide ceramics  can influence the electrochemical performance of polymer-based electrolytes.</w:t>
      </w:r>
      <w:r w:rsidR="00D10D29" w:rsidRPr="00D120AC">
        <w:rPr>
          <w:rFonts w:eastAsia="AdvOT999035f4"/>
          <w:vertAlign w:val="superscript"/>
          <w:lang w:val="en-CA"/>
        </w:rPr>
        <w:t xml:space="preserve"> </w:t>
      </w:r>
      <w:r w:rsidRPr="00D120AC">
        <w:rPr>
          <w:rFonts w:eastAsia="AdvOT999035f4"/>
          <w:vertAlign w:val="superscript"/>
          <w:lang w:val="en-CA"/>
        </w:rPr>
        <w:t>24</w:t>
      </w:r>
      <w:r w:rsidRPr="00D120AC">
        <w:rPr>
          <w:rFonts w:eastAsia="AdvOT999035f4"/>
          <w:lang w:val="en-CA"/>
        </w:rPr>
        <w:t xml:space="preserve"> Fillers such as SiO</w:t>
      </w:r>
      <w:r w:rsidRPr="00D120AC">
        <w:rPr>
          <w:rFonts w:eastAsia="AdvOT999035f4"/>
          <w:vertAlign w:val="subscript"/>
          <w:lang w:val="en-CA"/>
        </w:rPr>
        <w:t>2</w:t>
      </w:r>
      <w:r w:rsidRPr="00D120AC">
        <w:rPr>
          <w:rFonts w:eastAsia="AdvOT999035f4"/>
          <w:lang w:val="en-CA"/>
        </w:rPr>
        <w:t>, Al</w:t>
      </w:r>
      <w:r w:rsidRPr="00D120AC">
        <w:rPr>
          <w:rFonts w:eastAsia="AdvOT999035f4"/>
          <w:vertAlign w:val="subscript"/>
          <w:lang w:val="en-CA"/>
        </w:rPr>
        <w:t>2</w:t>
      </w:r>
      <w:r w:rsidRPr="00D120AC">
        <w:rPr>
          <w:rFonts w:eastAsia="AdvOT999035f4"/>
          <w:lang w:val="en-CA"/>
        </w:rPr>
        <w:t>O</w:t>
      </w:r>
      <w:r w:rsidRPr="00D120AC">
        <w:rPr>
          <w:rFonts w:eastAsia="AdvOT999035f4"/>
          <w:vertAlign w:val="subscript"/>
          <w:lang w:val="en-CA"/>
        </w:rPr>
        <w:t>3</w:t>
      </w:r>
      <w:r w:rsidRPr="00D120AC">
        <w:rPr>
          <w:rFonts w:eastAsia="AdvOT999035f4"/>
          <w:lang w:val="en-CA"/>
        </w:rPr>
        <w:t xml:space="preserve"> and TiO</w:t>
      </w:r>
      <w:r w:rsidRPr="00D120AC">
        <w:rPr>
          <w:rFonts w:eastAsia="AdvOT999035f4"/>
          <w:vertAlign w:val="subscript"/>
          <w:lang w:val="en-CA"/>
        </w:rPr>
        <w:t>2</w:t>
      </w:r>
      <w:r w:rsidRPr="00D120AC">
        <w:rPr>
          <w:rFonts w:eastAsia="AdvOT999035f4"/>
          <w:lang w:val="en-CA"/>
        </w:rPr>
        <w:t xml:space="preserve"> </w:t>
      </w:r>
      <w:proofErr w:type="gramStart"/>
      <w:r w:rsidRPr="00D120AC">
        <w:rPr>
          <w:rFonts w:eastAsia="AdvOT999035f4"/>
          <w:lang w:val="en-CA"/>
        </w:rPr>
        <w:t>were shown</w:t>
      </w:r>
      <w:proofErr w:type="gramEnd"/>
      <w:r w:rsidRPr="00D120AC">
        <w:rPr>
          <w:rFonts w:eastAsia="AdvOT999035f4"/>
          <w:lang w:val="en-CA"/>
        </w:rPr>
        <w:t xml:space="preserve"> to improve CSPE ionic conductivity via decreasing the degree of crystallinity of the polymer host and promoting Li salt dissociation via acid-base interactions with either Li cation or anion.</w:t>
      </w:r>
      <w:r w:rsidR="00D10D29" w:rsidRPr="00D120AC">
        <w:rPr>
          <w:rFonts w:eastAsia="AdvOT999035f4"/>
          <w:vertAlign w:val="superscript"/>
          <w:lang w:val="en-CA"/>
        </w:rPr>
        <w:t xml:space="preserve"> </w:t>
      </w:r>
      <w:r w:rsidRPr="00D120AC">
        <w:rPr>
          <w:rFonts w:eastAsia="AdvOT999035f4"/>
          <w:vertAlign w:val="superscript"/>
          <w:lang w:val="en-CA"/>
        </w:rPr>
        <w:t>24,31,33,35</w:t>
      </w:r>
      <w:r w:rsidRPr="00D120AC">
        <w:rPr>
          <w:rFonts w:eastAsia="AdvOT999035f4"/>
          <w:lang w:val="en-CA"/>
        </w:rPr>
        <w:t xml:space="preserve"> Comparing the ionic conductivity values for polymer-based systems with conductive and nonconductive </w:t>
      </w:r>
      <w:r w:rsidRPr="00D120AC">
        <w:rPr>
          <w:rFonts w:eastAsia="AdvOT999035f4"/>
          <w:lang w:val="en-CA"/>
        </w:rPr>
        <w:lastRenderedPageBreak/>
        <w:t xml:space="preserve">fillers, it can be concluded that both types of fillers show </w:t>
      </w:r>
      <w:proofErr w:type="gramStart"/>
      <w:r w:rsidRPr="00D120AC">
        <w:rPr>
          <w:rFonts w:eastAsia="AdvOT999035f4"/>
          <w:lang w:val="en-CA"/>
        </w:rPr>
        <w:t>very similar</w:t>
      </w:r>
      <w:proofErr w:type="gramEnd"/>
      <w:r w:rsidRPr="00D120AC">
        <w:rPr>
          <w:rFonts w:eastAsia="AdvOT999035f4"/>
          <w:lang w:val="en-CA"/>
        </w:rPr>
        <w:t xml:space="preserve"> improvements in the ionic conductivity.</w:t>
      </w:r>
      <w:r w:rsidR="00D97B0E">
        <w:rPr>
          <w:rFonts w:eastAsia="AdvOT999035f4"/>
          <w:lang w:val="en-CA"/>
        </w:rPr>
        <w:t xml:space="preserve"> For crosslinked systems, polymer network created after an oligomer crosslinking is the main contributor to improvements of mechanical integrity and electrochemical performance due to </w:t>
      </w:r>
      <w:r w:rsidR="006F4143">
        <w:rPr>
          <w:rFonts w:eastAsia="AdvOT999035f4"/>
          <w:lang w:val="en-CA"/>
        </w:rPr>
        <w:t xml:space="preserve">a </w:t>
      </w:r>
      <w:r w:rsidR="00D97B0E">
        <w:rPr>
          <w:rFonts w:eastAsia="AdvOT999035f4"/>
          <w:lang w:val="en-CA"/>
        </w:rPr>
        <w:t xml:space="preserve">significant </w:t>
      </w:r>
      <w:r w:rsidR="006F4143">
        <w:rPr>
          <w:rFonts w:eastAsia="AdvOT999035f4"/>
          <w:lang w:val="en-CA"/>
        </w:rPr>
        <w:t>obstruction</w:t>
      </w:r>
      <w:r w:rsidR="00D97B0E">
        <w:rPr>
          <w:rFonts w:eastAsia="AdvOT999035f4"/>
          <w:lang w:val="en-CA"/>
        </w:rPr>
        <w:t xml:space="preserve"> or even full </w:t>
      </w:r>
      <w:r w:rsidR="006F4143">
        <w:rPr>
          <w:rFonts w:eastAsia="AdvOT999035f4"/>
          <w:lang w:val="en-CA"/>
        </w:rPr>
        <w:t>elimination</w:t>
      </w:r>
      <w:r w:rsidR="00D97B0E">
        <w:rPr>
          <w:rFonts w:eastAsia="AdvOT999035f4"/>
          <w:lang w:val="en-CA"/>
        </w:rPr>
        <w:t xml:space="preserve"> of polymer crystallization.</w:t>
      </w:r>
      <w:r w:rsidR="006F4143">
        <w:rPr>
          <w:rFonts w:eastAsia="AdvOT999035f4"/>
          <w:lang w:val="en-CA"/>
        </w:rPr>
        <w:t xml:space="preserve"> Another big advantage of this approach is a possibility of its solventless </w:t>
      </w:r>
      <w:r w:rsidR="00375E0A">
        <w:rPr>
          <w:rFonts w:eastAsia="AdvOT999035f4"/>
          <w:lang w:val="en-CA"/>
        </w:rPr>
        <w:t>realization. However, for improved conductivity crosslinked systems still require plasticizers which makes them gel-</w:t>
      </w:r>
      <w:r w:rsidR="007C4BC9">
        <w:rPr>
          <w:rFonts w:eastAsia="AdvOT999035f4"/>
          <w:lang w:val="en-CA"/>
        </w:rPr>
        <w:t xml:space="preserve">like </w:t>
      </w:r>
      <w:r w:rsidR="00375E0A">
        <w:rPr>
          <w:rFonts w:eastAsia="AdvOT999035f4"/>
          <w:lang w:val="en-CA"/>
        </w:rPr>
        <w:t>and not fully dry solid electrolytes.</w:t>
      </w:r>
      <w:r w:rsidR="0033789F">
        <w:rPr>
          <w:rFonts w:eastAsia="AdvOT999035f4"/>
          <w:lang w:val="en-CA"/>
        </w:rPr>
        <w:t xml:space="preserve"> Dry systems do not usually show outstanding ionic conductivity and stay in a range of 10</w:t>
      </w:r>
      <w:r w:rsidR="0033789F" w:rsidRPr="0033789F">
        <w:rPr>
          <w:rFonts w:eastAsia="AdvOT999035f4"/>
          <w:vertAlign w:val="superscript"/>
          <w:lang w:val="en-CA"/>
        </w:rPr>
        <w:t>-6</w:t>
      </w:r>
      <w:r w:rsidR="0033789F">
        <w:rPr>
          <w:rFonts w:eastAsia="AdvOT999035f4"/>
          <w:lang w:val="en-CA"/>
        </w:rPr>
        <w:t xml:space="preserve"> to 10</w:t>
      </w:r>
      <w:r w:rsidR="0033789F" w:rsidRPr="0033789F">
        <w:rPr>
          <w:rFonts w:eastAsia="AdvOT999035f4"/>
          <w:vertAlign w:val="superscript"/>
          <w:lang w:val="en-CA"/>
        </w:rPr>
        <w:t>-5</w:t>
      </w:r>
      <w:r w:rsidR="0033789F">
        <w:rPr>
          <w:rFonts w:eastAsia="AdvOT999035f4"/>
          <w:lang w:val="en-CA"/>
        </w:rPr>
        <w:t xml:space="preserve"> S/cm. Regardless of its state, either it is a dry or a gel electrolyte, </w:t>
      </w:r>
      <w:r w:rsidR="007C4BC9">
        <w:rPr>
          <w:rFonts w:eastAsia="AdvOT999035f4"/>
          <w:lang w:val="en-CA"/>
        </w:rPr>
        <w:t xml:space="preserve">reports on </w:t>
      </w:r>
      <w:r w:rsidR="0033789F">
        <w:rPr>
          <w:rFonts w:eastAsia="AdvOT999035f4"/>
          <w:lang w:val="en-CA"/>
        </w:rPr>
        <w:t xml:space="preserve">long term </w:t>
      </w:r>
      <w:r w:rsidR="007C4BC9">
        <w:rPr>
          <w:rFonts w:eastAsia="AdvOT999035f4"/>
          <w:lang w:val="en-CA"/>
        </w:rPr>
        <w:t xml:space="preserve">cycling and thermal </w:t>
      </w:r>
      <w:r w:rsidR="0033789F">
        <w:rPr>
          <w:rFonts w:eastAsia="AdvOT999035f4"/>
          <w:lang w:val="en-CA"/>
        </w:rPr>
        <w:t xml:space="preserve">stability </w:t>
      </w:r>
      <w:r w:rsidR="007C4BC9">
        <w:rPr>
          <w:rFonts w:eastAsia="AdvOT999035f4"/>
          <w:lang w:val="en-CA"/>
        </w:rPr>
        <w:t>of cross-linked systems are scarce</w:t>
      </w:r>
      <w:r w:rsidR="0033789F">
        <w:rPr>
          <w:rFonts w:eastAsia="AdvOT999035f4"/>
          <w:lang w:val="en-CA"/>
        </w:rPr>
        <w:t>.</w:t>
      </w:r>
      <w:r w:rsidR="0033789F" w:rsidRPr="0033789F">
        <w:rPr>
          <w:rFonts w:eastAsia="AdvOT999035f4"/>
          <w:vertAlign w:val="superscript"/>
          <w:lang w:val="en-CA"/>
        </w:rPr>
        <w:t xml:space="preserve"> 36,37</w:t>
      </w:r>
      <w:r w:rsidR="00D57401">
        <w:rPr>
          <w:rFonts w:eastAsia="AdvOT999035f4"/>
          <w:lang w:val="en-CA"/>
        </w:rPr>
        <w:t xml:space="preserve"> Another disadvantage of crosslinked electrolytes is their reduced ability to </w:t>
      </w:r>
      <w:proofErr w:type="gramStart"/>
      <w:r w:rsidR="00D57401">
        <w:rPr>
          <w:rFonts w:eastAsia="AdvOT999035f4"/>
          <w:lang w:val="en-CA"/>
        </w:rPr>
        <w:t>be shaped</w:t>
      </w:r>
      <w:proofErr w:type="gramEnd"/>
      <w:r w:rsidR="00D57401">
        <w:rPr>
          <w:rFonts w:eastAsia="AdvOT999035f4"/>
          <w:lang w:val="en-CA"/>
        </w:rPr>
        <w:t xml:space="preserve"> and recycled after a crosslinked network is formed.</w:t>
      </w:r>
    </w:p>
    <w:p w14:paraId="4B797CFF" w14:textId="59C98FA8" w:rsidR="00FA6FFA" w:rsidRDefault="00872A4B" w:rsidP="00E94BE3">
      <w:pPr>
        <w:autoSpaceDE w:val="0"/>
        <w:autoSpaceDN w:val="0"/>
        <w:adjustRightInd w:val="0"/>
        <w:spacing w:line="480" w:lineRule="auto"/>
        <w:ind w:firstLine="720"/>
        <w:contextualSpacing/>
        <w:rPr>
          <w:highlight w:val="yellow"/>
          <w:lang w:val="en-CA"/>
        </w:rPr>
      </w:pPr>
      <w:r w:rsidRPr="00D120AC">
        <w:rPr>
          <w:rFonts w:eastAsia="AdvOT999035f4"/>
          <w:lang w:val="en-CA"/>
        </w:rPr>
        <w:t xml:space="preserve">Recent studies have focused more attention on a </w:t>
      </w:r>
      <w:proofErr w:type="gramStart"/>
      <w:r w:rsidRPr="00D120AC">
        <w:rPr>
          <w:rFonts w:eastAsia="AdvOT999035f4"/>
          <w:lang w:val="en-CA"/>
        </w:rPr>
        <w:t>relatively new</w:t>
      </w:r>
      <w:proofErr w:type="gramEnd"/>
      <w:r w:rsidRPr="00D120AC">
        <w:rPr>
          <w:rFonts w:eastAsia="AdvOT999035f4"/>
          <w:lang w:val="en-CA"/>
        </w:rPr>
        <w:t xml:space="preserve"> class of fillers in polymer composites. Nanocellulose, in particular cellulose nanofibrils (CNFs) and cellulose nanocrystals (CNCs), both ribbon - or rod-like particles composed of cellulose chains held together via hydrogen bonding, show promise as good candidates for reinforcing polymers.</w:t>
      </w:r>
      <w:r w:rsidRPr="00D120AC">
        <w:rPr>
          <w:rFonts w:eastAsia="AdvOT999035f4"/>
          <w:vertAlign w:val="superscript"/>
          <w:lang w:val="en-CA"/>
        </w:rPr>
        <w:t>10,3</w:t>
      </w:r>
      <w:r w:rsidR="007C4759">
        <w:rPr>
          <w:rFonts w:eastAsia="AdvOT999035f4"/>
          <w:vertAlign w:val="superscript"/>
          <w:lang w:val="en-CA"/>
        </w:rPr>
        <w:t>8</w:t>
      </w:r>
      <w:r w:rsidRPr="00D120AC">
        <w:rPr>
          <w:rFonts w:eastAsia="AdvOT999035f4"/>
          <w:vertAlign w:val="superscript"/>
          <w:lang w:val="en-CA"/>
        </w:rPr>
        <w:t>-4</w:t>
      </w:r>
      <w:r w:rsidR="007C4759">
        <w:rPr>
          <w:rFonts w:eastAsia="AdvOT999035f4"/>
          <w:vertAlign w:val="superscript"/>
          <w:lang w:val="en-CA"/>
        </w:rPr>
        <w:t>4</w:t>
      </w:r>
      <w:r w:rsidRPr="00D120AC">
        <w:rPr>
          <w:rFonts w:eastAsia="AdvOT999035f4"/>
          <w:lang w:val="en-CA"/>
        </w:rPr>
        <w:t xml:space="preserve"> The main advantages of CNFs are their high surface area, high mechanical strength, and the ability to form strong network at low concentrations in water (less than 1%).</w:t>
      </w:r>
      <w:r w:rsidRPr="00D120AC">
        <w:rPr>
          <w:rFonts w:eastAsia="AdvOT999035f4"/>
          <w:vertAlign w:val="superscript"/>
          <w:lang w:val="en-CA"/>
        </w:rPr>
        <w:t>4</w:t>
      </w:r>
      <w:r w:rsidR="007C4759">
        <w:rPr>
          <w:rFonts w:eastAsia="AdvOT999035f4"/>
          <w:vertAlign w:val="superscript"/>
          <w:lang w:val="en-CA"/>
        </w:rPr>
        <w:t>3</w:t>
      </w:r>
      <w:r w:rsidRPr="00D120AC">
        <w:rPr>
          <w:rFonts w:eastAsia="AdvOT999035f4"/>
          <w:lang w:val="en-CA"/>
        </w:rPr>
        <w:t xml:space="preserve"> In addition, there are vast opportunities for surface modification using the abundant surface hydroxyl groups.</w:t>
      </w:r>
      <w:r w:rsidRPr="00D120AC">
        <w:rPr>
          <w:rFonts w:eastAsia="AdvOT999035f4"/>
          <w:vertAlign w:val="superscript"/>
          <w:lang w:val="en-CA"/>
        </w:rPr>
        <w:t>10</w:t>
      </w:r>
      <w:r w:rsidRPr="00D120AC">
        <w:rPr>
          <w:rFonts w:eastAsia="AdvOT999035f4"/>
          <w:lang w:val="en-CA"/>
        </w:rPr>
        <w:t xml:space="preserve"> It has been recently reported that </w:t>
      </w:r>
      <w:r w:rsidRPr="00D120AC">
        <w:rPr>
          <w:rFonts w:eastAsia="AdvOT999035f4"/>
          <w:color w:val="000000" w:themeColor="text1"/>
          <w:lang w:val="en-CA"/>
        </w:rPr>
        <w:t>2,2,6,6-tetramethylpiperidine-1-oxyl (TEMPO) modified CNFs (t-CNF) can contribute to Li salt dissociation and improve PEO-based electrolyte ionic conductivity by preparing</w:t>
      </w:r>
      <w:r w:rsidRPr="00D120AC">
        <w:rPr>
          <w:lang w:val="en-CA"/>
        </w:rPr>
        <w:t xml:space="preserve"> CSPEs using a multi-step design consisting of t-CNF aerogel preparation followed by the infusion of PEO-Li</w:t>
      </w:r>
      <w:r w:rsidR="00FD36D3">
        <w:rPr>
          <w:lang w:val="en-CA"/>
        </w:rPr>
        <w:t>TFS</w:t>
      </w:r>
      <w:r w:rsidR="00FA1785">
        <w:rPr>
          <w:lang w:val="en-CA"/>
        </w:rPr>
        <w:t>I</w:t>
      </w:r>
      <w:r w:rsidRPr="00D120AC">
        <w:rPr>
          <w:lang w:val="en-CA"/>
        </w:rPr>
        <w:t xml:space="preserve"> dissolved in acetonitrile into the aerogel and subsequent drying.</w:t>
      </w:r>
      <w:r w:rsidRPr="00D120AC">
        <w:rPr>
          <w:rFonts w:eastAsia="AdvOT999035f4"/>
          <w:color w:val="000000" w:themeColor="text1"/>
          <w:vertAlign w:val="superscript"/>
          <w:lang w:val="en-CA"/>
        </w:rPr>
        <w:t>4</w:t>
      </w:r>
      <w:r w:rsidR="007C4759">
        <w:rPr>
          <w:rFonts w:eastAsia="AdvOT999035f4"/>
          <w:color w:val="000000" w:themeColor="text1"/>
          <w:vertAlign w:val="superscript"/>
          <w:lang w:val="en-CA"/>
        </w:rPr>
        <w:t>2</w:t>
      </w:r>
      <w:r w:rsidRPr="00D120AC">
        <w:rPr>
          <w:lang w:val="en-CA"/>
        </w:rPr>
        <w:t xml:space="preserve"> While a significant improvement in the cycling stability up to 60ºC was achieved in comparison to a neat PEO electrolyte, </w:t>
      </w:r>
      <w:r w:rsidRPr="00D120AC">
        <w:rPr>
          <w:vertAlign w:val="superscript"/>
          <w:lang w:val="en-CA"/>
        </w:rPr>
        <w:fldChar w:fldCharType="begin" w:fldLock="1"/>
      </w:r>
      <w:r w:rsidRPr="00D120AC">
        <w:rPr>
          <w:vertAlign w:val="superscript"/>
          <w:lang w:val="en-CA"/>
        </w:rPr>
        <w:instrText>ADDIN CSL_CITATION {"citationItems":[{"id":"ITEM-1","itemData":{"DOI":"10.1039/c9se00361d","ISSN":"23984902","abstract":"Easy processing and flexibility make polymer electrolytes very promising in the field of all-solid-state Li metal batteries. However, their low room-temperature conductivity and poor mechanical properties hinder their application. Herein, methyl 2-hydroxyethyl cellulose (HEMC), an organic filler, was used to reinforce the PEO-based polymer electrolyte instead of traditional inorganic or ceramic fillers. PEO-LiTFSI-HEMC with a 20 wt% HEMC filling enables the highest ion conductivities of 1.30 × 10-4 S cm-1 at 30 °C and 1.68 × 10-3 S cm-1 at 60 °C with an increased Li-ion transference number (0.467), by providing multi-dimensional Li-ion transport channels at the cross-linking network interface between PEO and HEMC (also with ethylene oxide groups to dissociate Li-salt), as well as excess protonated branched groups in HEMC to attract more TFSI- anions. This organic filler also promotes the amorphization of the PEO structure and the mechanical strengthening of the polymer skeleton, characterized by Young's modulus of 46.95 MPa and tensile strength of 3.26 MPa. The porous texture in the polymer enables good anode-electrolyte interface compatibility due to the facile compaction at the 3D contact interface, which is favorable for the achievement of ultrastable Li plating/stripping cycling for at least 1000 cycles with an overpotential as small as 75 mV. The anode dendrite suppression endows LiPEO16-LiTFSI-20HEMCLiFePO4 all-solid-state cells with long-term cycling (</w:instrText>
      </w:r>
      <w:r w:rsidRPr="00D120AC">
        <w:rPr>
          <w:rFonts w:ascii="Cambria Math" w:hAnsi="Cambria Math" w:cs="Cambria Math"/>
          <w:vertAlign w:val="superscript"/>
          <w:lang w:val="en-CA"/>
        </w:rPr>
        <w:instrText>∼</w:instrText>
      </w:r>
      <w:r w:rsidRPr="00D120AC">
        <w:rPr>
          <w:vertAlign w:val="superscript"/>
          <w:lang w:val="en-CA"/>
        </w:rPr>
        <w:instrText>120 mA h g-1 at 1C for at least 300 cycles) and high-rate performance (80 mA h g-1 up to 2C). The widened electrochemical stability window (up to 5.56 V) is expected to improve the reversibility of higher voltage cathodes.","author":[{"dropping-particle":"","family":"Wu","given":"Hailong","non-dropping-particle":"","parse-names":false,"suffix":""},{"dropping-particle":"","family":"Wang","given":"Jiali","non-dropping-particle":"","parse-names":false,"suffix":""},{"dropping-particle":"","family":"Zhao","given":"Yu","non-dropping-particle":"","parse-names":false,"suffix":""},{"dropping-particle":"","family":"Zhang","given":"Xiaoqiang","non-dropping-particle":"","parse-names":false,"suffix":""},{"dropping-particle":"","family":"Xu","given":"Ling","non-dropping-particle":"","parse-names":false,"suffix":""},{"dropping-particle":"","family":"Liu","given":"Hao","non-dropping-particle":"","parse-names":false,"suffix":""},{"dropping-particle":"","family":"Cui","given":"Yixiu","non-dropping-particle":"","parse-names":false,"suffix":""},{"dropping-particle":"","family":"Cui","given":"Yanhua","non-dropping-particle":"","parse-names":false,"suffix":""},{"dropping-particle":"","family":"Li","given":"Chilin","non-dropping-particle":"","parse-names":false,"suffix":""}],"container-title":"Sustainable Energy and Fuels","id":"ITEM-1","issue":"10","issued":{"date-parts":[["2019"]]},"page":"2642-2656","publisher":"Royal Society of Chemistry","title":"A branched cellulose-reinforced composite polymer electrolyte with upgraded ionic conductivity for anode stabilized solid-state Li metal batteries","type":"article-journal","volume":"3"},"uris":["http://www.mendeley.com/documents/?uuid=ff16cecc-ac66-488e-b701-b844e14cab61"]},{"id":"ITEM-2","itemData":{"DOI":"10.1016/j.ensm.2020.03.019","ISSN":"24058297","abstract":"Owing to its flexible, non-leaking, and nonflammable characteristics, solid polymer electrolytes (SPE) has long been considered as a promising replacement of the liquid electrolyte in lithium ion battery. Recently, one dimensional nanofiber/nanowire has been added into SPE, and the continuous network structure can not only improve its mechanical properties but also enhance the ionic conductivity. Although cellulose nanofibrils (CNFs) have been long sought in polymer reinforcement, its effect in SPE has never been investigated. In this study, we show that CNF can be used in fabrication of polyethylene oxide (PEO) SPE. The ionic conductivity of the CNF reinforced SPE increases due to enlarged surface charge density and can reach 3.1 ​× ​10−5 ​S ​cm−1 (25 ​°C) at surface charge density of 1.7 ​mmol/g. Furthermore, the high surface charge density can lower the activation energy for Li+ conduction by enhancing solvation and shortening ion transfer pathway. In essence, CNF can simultaneously improve the thermal, mechanical, and electrochemical properties of the PEO based SPE. The newly designed SPE maintains high electrochemical stability at high temperature of 60 ​°C after over 280 ​h of Li stripping/plating at current density of 0.2 ​mA ​cm−2, and is promising as replacement of liquid electrolyte in lithium ion batteries.","author":[{"dropping-particle":"","family":"Qin","given":"Hengfei","non-dropping-particle":"","parse-names":false,"suffix":""},{"dropping-particle":"","family":"Fu","given":"Kun","non-dropping-particle":"","parse-names":false,"suffix":""},{"dropping-particle":"","family":"Zhang","given":"Ying","non-dropping-particle":"","parse-names":false,"suffix":""},{"dropping-particle":"","family":"Ye","given":"Yuhang","non-dropping-particle":"","parse-names":false,"suffix":""},{"dropping-particle":"","family":"Song","given":"Mingyao","non-dropping-particle":"","parse-names":false,"suffix":""},{"dropping-particle":"","family":"Kuang","given":"Yudi","non-dropping-particle":"","parse-names":false,"suffix":""},{"dropping-particle":"","family":"Jang","given":"Soo Hwan","non-dropping-particle":"","parse-names":false,"suffix":""},{"dropping-particle":"","family":"Jiang","given":"Feng","non-dropping-particle":"","parse-names":false,"suffix":""},{"dropping-particle":"","family":"Cui","given":"Lifeng","non-dropping-particle":"","parse-names":false,"suffix":""}],"container-title":"Energy Storage Materials","id":"ITEM-2","issue":"October 2019","issued":{"date-parts":[["2020"]]},"page":"293-299","publisher":"Elsevier Ltd","title":"Flexible nanocellulose enhanced Li+ conducting membrane for solid polymer electrolyte","type":"article-journal","volume":"28"},"uris":["http://www.mendeley.com/documents/?uuid=6196e456-1478-4a32-863f-f14faffe1571"]}],"mendeley":{"formattedCitation":"[37], [39]","plainTextFormattedCitation":"[37], [39]","previouslyFormattedCitation":"[37], [39]"},"properties":{"noteIndex":0},"schema":"https://github.com/citation-style-language/schema/raw/master/csl-citation.json"}</w:instrText>
      </w:r>
      <w:r w:rsidRPr="00D120AC">
        <w:rPr>
          <w:vertAlign w:val="superscript"/>
          <w:lang w:val="en-CA"/>
        </w:rPr>
        <w:fldChar w:fldCharType="separate"/>
      </w:r>
      <w:r w:rsidR="007C4759">
        <w:rPr>
          <w:noProof/>
          <w:vertAlign w:val="superscript"/>
          <w:lang w:val="en-CA"/>
        </w:rPr>
        <w:t>40</w:t>
      </w:r>
      <w:r w:rsidRPr="00D120AC">
        <w:rPr>
          <w:noProof/>
          <w:vertAlign w:val="superscript"/>
          <w:lang w:val="en-CA"/>
        </w:rPr>
        <w:t>,4</w:t>
      </w:r>
      <w:r w:rsidR="007C4759">
        <w:rPr>
          <w:noProof/>
          <w:vertAlign w:val="superscript"/>
          <w:lang w:val="en-CA"/>
        </w:rPr>
        <w:t>2</w:t>
      </w:r>
      <w:r w:rsidRPr="00D120AC">
        <w:rPr>
          <w:vertAlign w:val="superscript"/>
          <w:lang w:val="en-CA"/>
        </w:rPr>
        <w:fldChar w:fldCharType="end"/>
      </w:r>
      <w:r w:rsidRPr="00D120AC">
        <w:rPr>
          <w:lang w:val="en-CA"/>
        </w:rPr>
        <w:t xml:space="preserve"> the hypothesis of Li salt dissociation was not proven. Zheng et al. suggest</w:t>
      </w:r>
      <w:r w:rsidR="007C4BC9">
        <w:rPr>
          <w:lang w:val="en-CA"/>
        </w:rPr>
        <w:t>ed</w:t>
      </w:r>
      <w:r w:rsidRPr="00D120AC">
        <w:rPr>
          <w:lang w:val="en-CA"/>
        </w:rPr>
        <w:t xml:space="preserve"> another way of cellulose utilization in a solid-state </w:t>
      </w:r>
      <w:r w:rsidRPr="00D120AC">
        <w:rPr>
          <w:lang w:val="en-CA"/>
        </w:rPr>
        <w:lastRenderedPageBreak/>
        <w:t>battery setup.</w:t>
      </w:r>
      <w:r w:rsidRPr="00D120AC">
        <w:rPr>
          <w:vertAlign w:val="superscript"/>
          <w:lang w:val="en-CA"/>
        </w:rPr>
        <w:t>4</w:t>
      </w:r>
      <w:r w:rsidR="007C4759">
        <w:rPr>
          <w:vertAlign w:val="superscript"/>
          <w:lang w:val="en-CA"/>
        </w:rPr>
        <w:t>5</w:t>
      </w:r>
      <w:r w:rsidRPr="00D120AC">
        <w:rPr>
          <w:lang w:val="en-CA"/>
        </w:rPr>
        <w:t xml:space="preserve"> They used it as a separator while its </w:t>
      </w:r>
      <w:proofErr w:type="gramStart"/>
      <w:r w:rsidRPr="00D120AC">
        <w:rPr>
          <w:lang w:val="en-CA"/>
        </w:rPr>
        <w:t>being sandwiched</w:t>
      </w:r>
      <w:proofErr w:type="gramEnd"/>
      <w:r w:rsidRPr="00D120AC">
        <w:rPr>
          <w:lang w:val="en-CA"/>
        </w:rPr>
        <w:t xml:space="preserve"> on both sides with composite PEO-based solid electrolyte. In that work (Er</w:t>
      </w:r>
      <w:r w:rsidRPr="00D120AC">
        <w:rPr>
          <w:vertAlign w:val="subscript"/>
          <w:lang w:val="en-CA"/>
        </w:rPr>
        <w:t>0.5</w:t>
      </w:r>
      <w:r w:rsidRPr="00D120AC">
        <w:rPr>
          <w:lang w:val="en-CA"/>
        </w:rPr>
        <w:t>Nb</w:t>
      </w:r>
      <w:r w:rsidRPr="00D120AC">
        <w:rPr>
          <w:vertAlign w:val="subscript"/>
          <w:lang w:val="en-CA"/>
        </w:rPr>
        <w:t>0.5</w:t>
      </w:r>
      <w:r w:rsidRPr="00D120AC">
        <w:rPr>
          <w:lang w:val="en-CA"/>
        </w:rPr>
        <w:t>)</w:t>
      </w:r>
      <w:r w:rsidRPr="00D120AC">
        <w:rPr>
          <w:vertAlign w:val="subscript"/>
          <w:lang w:val="en-CA"/>
        </w:rPr>
        <w:t>0.05</w:t>
      </w:r>
      <w:r w:rsidRPr="00D120AC">
        <w:rPr>
          <w:lang w:val="en-CA"/>
        </w:rPr>
        <w:t>Ti</w:t>
      </w:r>
      <w:r w:rsidRPr="00D120AC">
        <w:rPr>
          <w:vertAlign w:val="subscript"/>
          <w:lang w:val="en-CA"/>
        </w:rPr>
        <w:t>0.9</w:t>
      </w:r>
      <w:r w:rsidRPr="00D120AC">
        <w:rPr>
          <w:lang w:val="en-CA"/>
        </w:rPr>
        <w:t>5O</w:t>
      </w:r>
      <w:r w:rsidRPr="00D120AC">
        <w:rPr>
          <w:vertAlign w:val="subscript"/>
          <w:lang w:val="en-CA"/>
        </w:rPr>
        <w:t>2</w:t>
      </w:r>
      <w:r w:rsidRPr="00D120AC">
        <w:rPr>
          <w:lang w:val="en-CA"/>
        </w:rPr>
        <w:t xml:space="preserve"> </w:t>
      </w:r>
      <w:proofErr w:type="gramStart"/>
      <w:r w:rsidRPr="00D120AC">
        <w:rPr>
          <w:lang w:val="en-CA"/>
        </w:rPr>
        <w:t>was used</w:t>
      </w:r>
      <w:proofErr w:type="gramEnd"/>
      <w:r w:rsidRPr="00D120AC">
        <w:rPr>
          <w:lang w:val="en-CA"/>
        </w:rPr>
        <w:t xml:space="preserve"> as a filler and was proven to have a positive effect on electrolyte dielectric properties. However, cellulose contribution was limited to improvement of mechanical properties only</w:t>
      </w:r>
      <w:proofErr w:type="gramStart"/>
      <w:r w:rsidRPr="00D120AC">
        <w:rPr>
          <w:lang w:val="en-CA"/>
        </w:rPr>
        <w:t>.</w:t>
      </w:r>
      <w:r w:rsidR="002C3C18">
        <w:rPr>
          <w:lang w:val="en-CA"/>
        </w:rPr>
        <w:t xml:space="preserve"> </w:t>
      </w:r>
      <w:r w:rsidR="002C3C18" w:rsidRPr="00CA2E98">
        <w:rPr>
          <w:highlight w:val="yellow"/>
          <w:lang w:val="en-CA"/>
        </w:rPr>
        <w:t xml:space="preserve"> </w:t>
      </w:r>
      <w:proofErr w:type="gramEnd"/>
    </w:p>
    <w:p w14:paraId="027D8790" w14:textId="1A3D12D3" w:rsidR="00D03DFC" w:rsidRPr="008112B8" w:rsidRDefault="00FA6FFA" w:rsidP="00E94BE3">
      <w:pPr>
        <w:autoSpaceDE w:val="0"/>
        <w:autoSpaceDN w:val="0"/>
        <w:adjustRightInd w:val="0"/>
        <w:spacing w:line="480" w:lineRule="auto"/>
        <w:ind w:firstLine="720"/>
        <w:contextualSpacing/>
        <w:rPr>
          <w:lang w:val="en-CA"/>
        </w:rPr>
      </w:pPr>
      <w:r w:rsidRPr="008112B8">
        <w:rPr>
          <w:lang w:val="en-CA"/>
        </w:rPr>
        <w:t xml:space="preserve">Irrespective of the nanofiller utilized, </w:t>
      </w:r>
      <w:r w:rsidR="003B21A2" w:rsidRPr="008112B8">
        <w:rPr>
          <w:lang w:val="en-CA"/>
        </w:rPr>
        <w:t xml:space="preserve">it is evident that </w:t>
      </w:r>
      <w:r w:rsidR="00D03DFC" w:rsidRPr="008112B8">
        <w:rPr>
          <w:lang w:val="en-CA"/>
        </w:rPr>
        <w:t xml:space="preserve">the </w:t>
      </w:r>
      <w:r w:rsidR="003B21A2" w:rsidRPr="008112B8">
        <w:rPr>
          <w:lang w:val="en-CA"/>
        </w:rPr>
        <w:t>existing literature does not offer clear trends or guidelines on the design of effective CPSE</w:t>
      </w:r>
      <w:r w:rsidR="00D03DFC" w:rsidRPr="008112B8">
        <w:rPr>
          <w:lang w:val="en-CA"/>
        </w:rPr>
        <w:t>s</w:t>
      </w:r>
      <w:r w:rsidR="003B21A2" w:rsidRPr="008112B8">
        <w:rPr>
          <w:lang w:val="en-CA"/>
        </w:rPr>
        <w:t>. Even when studies investigate similar systems, they often arrive to different conclusions</w:t>
      </w:r>
      <w:r w:rsidR="00D03DFC" w:rsidRPr="008112B8">
        <w:rPr>
          <w:lang w:val="en-CA"/>
        </w:rPr>
        <w:t xml:space="preserve">; some reporting </w:t>
      </w:r>
      <w:r w:rsidR="00CA2E98" w:rsidRPr="008112B8">
        <w:rPr>
          <w:lang w:val="en-CA"/>
        </w:rPr>
        <w:t>enhance</w:t>
      </w:r>
      <w:r w:rsidR="00D03DFC" w:rsidRPr="008112B8">
        <w:rPr>
          <w:lang w:val="en-CA"/>
        </w:rPr>
        <w:t>ment</w:t>
      </w:r>
      <w:r w:rsidR="00CA2E98" w:rsidRPr="008112B8">
        <w:rPr>
          <w:lang w:val="en-CA"/>
        </w:rPr>
        <w:t xml:space="preserve"> conductivity/long term stability</w:t>
      </w:r>
      <w:r w:rsidR="00D03DFC" w:rsidRPr="008112B8">
        <w:rPr>
          <w:lang w:val="en-CA"/>
        </w:rPr>
        <w:t xml:space="preserve"> with addition of nanofillers</w:t>
      </w:r>
      <w:r w:rsidR="00CA2E98" w:rsidRPr="008112B8">
        <w:rPr>
          <w:lang w:val="en-CA"/>
        </w:rPr>
        <w:t xml:space="preserve">, </w:t>
      </w:r>
      <w:r w:rsidR="00D03DFC" w:rsidRPr="008112B8">
        <w:rPr>
          <w:lang w:val="en-CA"/>
        </w:rPr>
        <w:t>others</w:t>
      </w:r>
      <w:r w:rsidR="00CA2E98" w:rsidRPr="008112B8">
        <w:rPr>
          <w:lang w:val="en-CA"/>
        </w:rPr>
        <w:t xml:space="preserve"> </w:t>
      </w:r>
      <w:r w:rsidR="00D03DFC" w:rsidRPr="008112B8">
        <w:rPr>
          <w:lang w:val="en-CA"/>
        </w:rPr>
        <w:t>loss in</w:t>
      </w:r>
      <w:r w:rsidR="00CA2E98" w:rsidRPr="008112B8">
        <w:rPr>
          <w:lang w:val="en-CA"/>
        </w:rPr>
        <w:t xml:space="preserve"> the performance</w:t>
      </w:r>
      <w:proofErr w:type="gramStart"/>
      <w:r w:rsidR="00CA2E98" w:rsidRPr="008112B8">
        <w:rPr>
          <w:lang w:val="en-CA"/>
        </w:rPr>
        <w:t>.</w:t>
      </w:r>
      <w:r w:rsidR="00CA2E98" w:rsidRPr="008112B8">
        <w:rPr>
          <w:vertAlign w:val="superscript"/>
          <w:lang w:val="en-CA"/>
        </w:rPr>
        <w:t xml:space="preserve"> </w:t>
      </w:r>
      <w:r w:rsidR="00D03DFC" w:rsidRPr="008112B8">
        <w:rPr>
          <w:vertAlign w:val="superscript"/>
          <w:lang w:val="en-CA"/>
        </w:rPr>
        <w:t xml:space="preserve"> </w:t>
      </w:r>
      <w:proofErr w:type="gramEnd"/>
      <w:r w:rsidR="00D03DFC" w:rsidRPr="008112B8">
        <w:rPr>
          <w:vertAlign w:val="superscript"/>
          <w:lang w:val="en-CA"/>
        </w:rPr>
        <w:t xml:space="preserve">(REF) </w:t>
      </w:r>
      <w:r w:rsidR="000E49EE" w:rsidRPr="008112B8">
        <w:rPr>
          <w:lang w:val="en-CA"/>
        </w:rPr>
        <w:t>The microscopic origin of these discrepancies remains unclear</w:t>
      </w:r>
      <w:proofErr w:type="gramStart"/>
      <w:r w:rsidR="00CA2E98" w:rsidRPr="008112B8">
        <w:rPr>
          <w:lang w:val="en-CA"/>
        </w:rPr>
        <w:t xml:space="preserve">. </w:t>
      </w:r>
      <w:r w:rsidR="00E94BE3" w:rsidRPr="008112B8">
        <w:rPr>
          <w:lang w:val="en-CA"/>
        </w:rPr>
        <w:t xml:space="preserve"> </w:t>
      </w:r>
      <w:proofErr w:type="gramEnd"/>
    </w:p>
    <w:p w14:paraId="323C8131" w14:textId="18EACF52" w:rsidR="006C06F0" w:rsidRPr="00E94BE3" w:rsidRDefault="00CA2E98" w:rsidP="00D03DFC">
      <w:pPr>
        <w:autoSpaceDE w:val="0"/>
        <w:autoSpaceDN w:val="0"/>
        <w:adjustRightInd w:val="0"/>
        <w:spacing w:line="480" w:lineRule="auto"/>
        <w:ind w:firstLine="720"/>
        <w:contextualSpacing/>
        <w:rPr>
          <w:highlight w:val="yellow"/>
          <w:lang w:val="en-CA"/>
        </w:rPr>
      </w:pPr>
      <w:r w:rsidRPr="008112B8">
        <w:rPr>
          <w:lang w:val="en-CA"/>
        </w:rPr>
        <w:t xml:space="preserve">Our study elucidates </w:t>
      </w:r>
      <w:proofErr w:type="gramStart"/>
      <w:r w:rsidRPr="008112B8">
        <w:rPr>
          <w:lang w:val="en-CA"/>
        </w:rPr>
        <w:t xml:space="preserve">that </w:t>
      </w:r>
      <w:r w:rsidR="000E49EE" w:rsidRPr="008112B8">
        <w:rPr>
          <w:lang w:val="en-CA"/>
        </w:rPr>
        <w:t>insights</w:t>
      </w:r>
      <w:proofErr w:type="gramEnd"/>
      <w:r w:rsidR="000E49EE" w:rsidRPr="008112B8">
        <w:rPr>
          <w:lang w:val="en-CA"/>
        </w:rPr>
        <w:t xml:space="preserve"> into the</w:t>
      </w:r>
      <w:r w:rsidR="00D03DFC" w:rsidRPr="008112B8">
        <w:rPr>
          <w:lang w:val="en-CA"/>
        </w:rPr>
        <w:t xml:space="preserve"> growth and final morphology of polymeric </w:t>
      </w:r>
      <w:r w:rsidR="00703D9B" w:rsidRPr="008112B8">
        <w:rPr>
          <w:lang w:val="en-CA"/>
        </w:rPr>
        <w:t>spherulites</w:t>
      </w:r>
      <w:r w:rsidR="00D03DFC" w:rsidRPr="008112B8">
        <w:rPr>
          <w:lang w:val="en-CA"/>
        </w:rPr>
        <w:t xml:space="preserve">, </w:t>
      </w:r>
      <w:r w:rsidR="00703D9B" w:rsidRPr="008112B8">
        <w:rPr>
          <w:lang w:val="en-CA"/>
        </w:rPr>
        <w:t>intertwined with particle ordering</w:t>
      </w:r>
      <w:r w:rsidR="00133F75" w:rsidRPr="008112B8">
        <w:rPr>
          <w:lang w:val="en-CA"/>
        </w:rPr>
        <w:t xml:space="preserve"> as the effect of that dynamic</w:t>
      </w:r>
      <w:r w:rsidR="000E49EE" w:rsidRPr="008112B8">
        <w:rPr>
          <w:lang w:val="en-CA"/>
        </w:rPr>
        <w:t xml:space="preserve"> growth</w:t>
      </w:r>
      <w:r w:rsidR="00D03DFC" w:rsidRPr="008112B8">
        <w:rPr>
          <w:lang w:val="en-CA"/>
        </w:rPr>
        <w:t xml:space="preserve"> </w:t>
      </w:r>
      <w:r w:rsidR="00FA6FFA" w:rsidRPr="008112B8">
        <w:rPr>
          <w:lang w:val="en-CA"/>
        </w:rPr>
        <w:t xml:space="preserve">can prove to be a powerful tool to gain predictive capabilities of </w:t>
      </w:r>
      <w:r w:rsidR="00D03DFC" w:rsidRPr="008112B8">
        <w:rPr>
          <w:lang w:val="en-CA"/>
        </w:rPr>
        <w:t xml:space="preserve">the </w:t>
      </w:r>
      <w:r w:rsidR="00133F75" w:rsidRPr="008112B8">
        <w:rPr>
          <w:lang w:val="en-CA"/>
        </w:rPr>
        <w:t xml:space="preserve">CPSE’s </w:t>
      </w:r>
      <w:r w:rsidR="00FA6FFA" w:rsidRPr="008112B8">
        <w:rPr>
          <w:lang w:val="en-CA"/>
        </w:rPr>
        <w:t xml:space="preserve">long-term </w:t>
      </w:r>
      <w:r w:rsidR="00D03DFC" w:rsidRPr="008112B8">
        <w:rPr>
          <w:lang w:val="en-CA"/>
        </w:rPr>
        <w:t>performance.</w:t>
      </w:r>
      <w:r w:rsidR="00D03DFC">
        <w:rPr>
          <w:highlight w:val="yellow"/>
          <w:lang w:val="en-CA"/>
        </w:rPr>
        <w:t xml:space="preserve"> </w:t>
      </w:r>
      <w:r w:rsidR="00C92371">
        <w:rPr>
          <w:lang w:val="en-CA"/>
        </w:rPr>
        <w:t xml:space="preserve"> </w:t>
      </w:r>
      <w:r w:rsidR="009F7EA8">
        <w:rPr>
          <w:lang w:val="en-CA"/>
        </w:rPr>
        <w:t xml:space="preserve">Using a combination of </w:t>
      </w:r>
      <w:r w:rsidR="003058F7">
        <w:rPr>
          <w:lang w:val="en-CA"/>
        </w:rPr>
        <w:t xml:space="preserve">characterization techniques, including but not limited to </w:t>
      </w:r>
      <w:r w:rsidR="009F7EA8">
        <w:rPr>
          <w:lang w:val="en-CA"/>
        </w:rPr>
        <w:t xml:space="preserve">laser scanning confocal microscopy (LSCM), electrochemical strain microscopy (ESM), </w:t>
      </w:r>
      <w:r w:rsidR="007C4BC9">
        <w:rPr>
          <w:lang w:val="en-CA"/>
        </w:rPr>
        <w:t xml:space="preserve">solid-state </w:t>
      </w:r>
      <w:r w:rsidR="009F7EA8">
        <w:rPr>
          <w:lang w:val="en-CA"/>
        </w:rPr>
        <w:t>nuclear magnetic resonance spectroscopy (NMR) and electrochemical studies,</w:t>
      </w:r>
      <w:r w:rsidR="007C4BC9">
        <w:rPr>
          <w:lang w:val="en-CA"/>
        </w:rPr>
        <w:t xml:space="preserve"> we elucidate the effect of</w:t>
      </w:r>
      <w:r w:rsidR="009F7EA8">
        <w:rPr>
          <w:lang w:val="en-CA"/>
        </w:rPr>
        <w:t xml:space="preserve"> t-CNF on PEO conformation and crystallization patterns</w:t>
      </w:r>
      <w:r w:rsidR="003058F7">
        <w:rPr>
          <w:lang w:val="en-CA"/>
        </w:rPr>
        <w:t xml:space="preserve">. </w:t>
      </w:r>
      <w:r w:rsidR="00E94BE3">
        <w:rPr>
          <w:lang w:val="en-CA"/>
        </w:rPr>
        <w:t>D</w:t>
      </w:r>
      <w:r w:rsidR="0085793D" w:rsidRPr="00D120AC">
        <w:rPr>
          <w:lang w:val="en-CA"/>
        </w:rPr>
        <w:t xml:space="preserve">irect visualization of the micromorphology of the CPSEs via laser scanning confocal microscopy </w:t>
      </w:r>
      <w:r w:rsidR="0085793D">
        <w:rPr>
          <w:lang w:val="en-CA"/>
        </w:rPr>
        <w:t>and polarized light microscopy show</w:t>
      </w:r>
      <w:r w:rsidR="007447A6">
        <w:rPr>
          <w:lang w:val="en-CA"/>
        </w:rPr>
        <w:t>s</w:t>
      </w:r>
      <w:r w:rsidR="0085793D" w:rsidRPr="00D120AC">
        <w:rPr>
          <w:lang w:val="en-CA"/>
        </w:rPr>
        <w:t xml:space="preserve"> </w:t>
      </w:r>
      <w:r w:rsidR="00133F75">
        <w:rPr>
          <w:lang w:val="en-CA"/>
        </w:rPr>
        <w:t xml:space="preserve">the striking difference in the morphology of the derived CPSE, </w:t>
      </w:r>
      <w:proofErr w:type="gramStart"/>
      <w:r w:rsidR="00133F75">
        <w:rPr>
          <w:lang w:val="en-CA"/>
        </w:rPr>
        <w:t>mainly driven</w:t>
      </w:r>
      <w:proofErr w:type="gramEnd"/>
      <w:r w:rsidR="00133F75">
        <w:rPr>
          <w:lang w:val="en-CA"/>
        </w:rPr>
        <w:t xml:space="preserve"> by the dynamic growth of </w:t>
      </w:r>
      <w:r w:rsidR="0085793D">
        <w:rPr>
          <w:lang w:val="en-CA"/>
        </w:rPr>
        <w:t xml:space="preserve">PEO </w:t>
      </w:r>
      <w:r w:rsidR="00133F75">
        <w:rPr>
          <w:lang w:val="en-CA"/>
        </w:rPr>
        <w:t>spherulites</w:t>
      </w:r>
      <w:r w:rsidR="00BE6A6D">
        <w:rPr>
          <w:lang w:val="en-CA"/>
        </w:rPr>
        <w:t xml:space="preserve"> in presence of t-CNF</w:t>
      </w:r>
      <w:r w:rsidR="00133F75">
        <w:rPr>
          <w:lang w:val="en-CA"/>
        </w:rPr>
        <w:t xml:space="preserve">. </w:t>
      </w:r>
      <w:r w:rsidR="0085793D" w:rsidRPr="00D120AC">
        <w:rPr>
          <w:lang w:val="en-CA"/>
        </w:rPr>
        <w:t>PEO spherulite</w:t>
      </w:r>
      <w:r w:rsidR="00BE6A6D">
        <w:rPr>
          <w:lang w:val="en-CA"/>
        </w:rPr>
        <w:t>s of low</w:t>
      </w:r>
      <w:r w:rsidR="0085793D">
        <w:rPr>
          <w:lang w:val="en-CA"/>
        </w:rPr>
        <w:t xml:space="preserve"> molecular weight PEO </w:t>
      </w:r>
      <w:r w:rsidR="00BE6A6D">
        <w:rPr>
          <w:lang w:val="en-CA"/>
        </w:rPr>
        <w:t>are</w:t>
      </w:r>
      <w:r w:rsidR="00133F75">
        <w:rPr>
          <w:lang w:val="en-CA"/>
        </w:rPr>
        <w:t xml:space="preserve"> evident throughout the volume of the CPSE with t-CNF incorporated within lamellas, while nuclei remain particle-free. On the other hand, </w:t>
      </w:r>
      <w:r w:rsidR="0085793D">
        <w:rPr>
          <w:lang w:val="en-CA"/>
        </w:rPr>
        <w:t xml:space="preserve">growth of </w:t>
      </w:r>
      <w:r w:rsidR="00133F75">
        <w:rPr>
          <w:lang w:val="en-CA"/>
        </w:rPr>
        <w:t xml:space="preserve">high molecular weight </w:t>
      </w:r>
      <w:r w:rsidR="0085793D">
        <w:rPr>
          <w:lang w:val="en-CA"/>
        </w:rPr>
        <w:t xml:space="preserve">spherulites </w:t>
      </w:r>
      <w:r w:rsidR="00133F75">
        <w:rPr>
          <w:lang w:val="en-CA"/>
        </w:rPr>
        <w:t xml:space="preserve">is </w:t>
      </w:r>
      <w:r w:rsidR="00BE6A6D">
        <w:rPr>
          <w:lang w:val="en-CA"/>
        </w:rPr>
        <w:t xml:space="preserve">free of t-CNF and their growth is supressed </w:t>
      </w:r>
      <w:proofErr w:type="gramStart"/>
      <w:r w:rsidR="00BE6A6D">
        <w:rPr>
          <w:lang w:val="en-CA"/>
        </w:rPr>
        <w:t xml:space="preserve">by </w:t>
      </w:r>
      <w:r w:rsidR="0085793D">
        <w:rPr>
          <w:lang w:val="en-CA"/>
        </w:rPr>
        <w:t xml:space="preserve"> a</w:t>
      </w:r>
      <w:proofErr w:type="gramEnd"/>
      <w:r w:rsidR="0085793D">
        <w:rPr>
          <w:lang w:val="en-CA"/>
        </w:rPr>
        <w:t xml:space="preserve"> strong </w:t>
      </w:r>
      <w:r w:rsidR="00BE6A6D">
        <w:rPr>
          <w:lang w:val="en-CA"/>
        </w:rPr>
        <w:t xml:space="preserve">particle </w:t>
      </w:r>
      <w:r w:rsidR="0085793D">
        <w:rPr>
          <w:lang w:val="en-CA"/>
        </w:rPr>
        <w:t xml:space="preserve">network in the amorphous phase of high molecular weight PEO. </w:t>
      </w:r>
      <w:proofErr w:type="gramStart"/>
      <w:r w:rsidR="007279A8">
        <w:rPr>
          <w:lang w:val="en-CA"/>
        </w:rPr>
        <w:t>Ultimatel</w:t>
      </w:r>
      <w:r w:rsidR="00BE6A6D">
        <w:rPr>
          <w:lang w:val="en-CA"/>
        </w:rPr>
        <w:t>y, this</w:t>
      </w:r>
      <w:proofErr w:type="gramEnd"/>
      <w:r w:rsidR="00BE6A6D">
        <w:rPr>
          <w:lang w:val="en-CA"/>
        </w:rPr>
        <w:t xml:space="preserve"> </w:t>
      </w:r>
      <w:r w:rsidR="006D4692">
        <w:rPr>
          <w:lang w:val="en-CA"/>
        </w:rPr>
        <w:t xml:space="preserve">striking difference in number and morphology of spherulites and resulting strength of the </w:t>
      </w:r>
      <w:r w:rsidR="007279A8">
        <w:rPr>
          <w:lang w:val="en-CA"/>
        </w:rPr>
        <w:t xml:space="preserve">t-CNF network </w:t>
      </w:r>
      <w:r w:rsidR="00294821">
        <w:rPr>
          <w:lang w:val="en-CA"/>
        </w:rPr>
        <w:t>was proven to be a main contributor to CSPEs mechanical integrity</w:t>
      </w:r>
      <w:r w:rsidR="00BE6A6D">
        <w:rPr>
          <w:lang w:val="en-CA"/>
        </w:rPr>
        <w:t xml:space="preserve"> and long-term stability during Li </w:t>
      </w:r>
      <w:r w:rsidR="00BE6A6D">
        <w:rPr>
          <w:lang w:val="en-CA"/>
        </w:rPr>
        <w:lastRenderedPageBreak/>
        <w:t>stripping and plating experiments</w:t>
      </w:r>
      <w:r w:rsidR="00294821">
        <w:rPr>
          <w:lang w:val="en-CA"/>
        </w:rPr>
        <w:t>.</w:t>
      </w:r>
      <w:r w:rsidR="00872A4B" w:rsidRPr="00D120AC">
        <w:rPr>
          <w:lang w:val="en-CA"/>
        </w:rPr>
        <w:t xml:space="preserve"> We show that developed CSPEs can </w:t>
      </w:r>
      <w:proofErr w:type="gramStart"/>
      <w:r w:rsidR="00872A4B" w:rsidRPr="00D120AC">
        <w:rPr>
          <w:lang w:val="en-CA"/>
        </w:rPr>
        <w:t>be easily molded</w:t>
      </w:r>
      <w:proofErr w:type="gramEnd"/>
      <w:r w:rsidR="00872A4B" w:rsidRPr="00D120AC">
        <w:rPr>
          <w:lang w:val="en-CA"/>
        </w:rPr>
        <w:t xml:space="preserve"> into thin films </w:t>
      </w:r>
      <w:r w:rsidR="00746D15" w:rsidRPr="00D120AC">
        <w:rPr>
          <w:lang w:val="en-CA"/>
        </w:rPr>
        <w:t>(</w:t>
      </w:r>
      <w:r w:rsidR="00746D15">
        <w:rPr>
          <w:lang w:val="en-CA"/>
        </w:rPr>
        <w:t>~</w:t>
      </w:r>
      <w:r w:rsidR="00872A4B" w:rsidRPr="00D120AC">
        <w:rPr>
          <w:lang w:val="en-CA"/>
        </w:rPr>
        <w:t xml:space="preserve">100 </w:t>
      </w:r>
      <w:r w:rsidR="00872A4B" w:rsidRPr="00D120AC">
        <w:rPr>
          <w:rFonts w:ascii="Symbol" w:hAnsi="Symbol"/>
          <w:lang w:val="en-CA"/>
        </w:rPr>
        <w:t></w:t>
      </w:r>
      <w:r w:rsidR="00872A4B" w:rsidRPr="00D120AC">
        <w:rPr>
          <w:lang w:val="en-CA"/>
        </w:rPr>
        <w:t>m) having a room temperature ionic conductivity of between 10</w:t>
      </w:r>
      <w:r w:rsidR="00872A4B" w:rsidRPr="00D120AC">
        <w:rPr>
          <w:vertAlign w:val="superscript"/>
          <w:lang w:val="en-CA"/>
        </w:rPr>
        <w:t>-5</w:t>
      </w:r>
      <w:r w:rsidR="00872A4B" w:rsidRPr="00D120AC">
        <w:rPr>
          <w:lang w:val="en-CA"/>
        </w:rPr>
        <w:t xml:space="preserve"> and 10</w:t>
      </w:r>
      <w:r w:rsidR="00872A4B" w:rsidRPr="00D120AC">
        <w:rPr>
          <w:vertAlign w:val="superscript"/>
          <w:lang w:val="en-CA"/>
        </w:rPr>
        <w:t>-4</w:t>
      </w:r>
      <w:r w:rsidR="00872A4B" w:rsidRPr="00D120AC">
        <w:rPr>
          <w:lang w:val="en-CA"/>
        </w:rPr>
        <w:t xml:space="preserve"> S cm</w:t>
      </w:r>
      <w:r w:rsidR="00872A4B" w:rsidRPr="00D120AC">
        <w:rPr>
          <w:vertAlign w:val="superscript"/>
          <w:lang w:val="en-CA"/>
        </w:rPr>
        <w:t>-1</w:t>
      </w:r>
      <w:r w:rsidR="00872A4B" w:rsidRPr="00D120AC">
        <w:rPr>
          <w:lang w:val="en-CA"/>
        </w:rPr>
        <w:t xml:space="preserve"> and a wide temperature operational window</w:t>
      </w:r>
      <w:r w:rsidR="002F329E">
        <w:rPr>
          <w:lang w:val="en-CA"/>
        </w:rPr>
        <w:t>.</w:t>
      </w:r>
      <w:r w:rsidR="002566E9">
        <w:rPr>
          <w:lang w:val="en-CA"/>
        </w:rPr>
        <w:t xml:space="preserve"> </w:t>
      </w:r>
      <w:r w:rsidR="00872A4B" w:rsidRPr="00D120AC">
        <w:rPr>
          <w:lang w:val="en-CA"/>
        </w:rPr>
        <w:t xml:space="preserve">Cycling studies at 85 ºC reveal that the derived CSPEs </w:t>
      </w:r>
      <w:r w:rsidR="007C4BC9">
        <w:rPr>
          <w:lang w:val="en-CA"/>
        </w:rPr>
        <w:t xml:space="preserve">with high MW PEO </w:t>
      </w:r>
      <w:r w:rsidR="00872A4B" w:rsidRPr="00D120AC">
        <w:rPr>
          <w:lang w:val="en-CA"/>
        </w:rPr>
        <w:t>are efficient at suppressing Li dendrite growth at temperatures higher than any previously reported PEO based electrolytes.</w:t>
      </w:r>
      <w:r w:rsidR="00BE6A6D">
        <w:rPr>
          <w:lang w:val="en-CA"/>
        </w:rPr>
        <w:t xml:space="preserve"> </w:t>
      </w:r>
      <w:r w:rsidR="006D4692">
        <w:rPr>
          <w:lang w:val="en-CA"/>
        </w:rPr>
        <w:t>We demonstrate that</w:t>
      </w:r>
      <w:r w:rsidR="00BE6A6D">
        <w:rPr>
          <w:lang w:val="en-CA"/>
        </w:rPr>
        <w:t xml:space="preserve"> </w:t>
      </w:r>
      <w:proofErr w:type="gramStart"/>
      <w:r w:rsidR="00BE6A6D">
        <w:rPr>
          <w:lang w:val="en-CA"/>
        </w:rPr>
        <w:t>synergy</w:t>
      </w:r>
      <w:proofErr w:type="gramEnd"/>
      <w:r w:rsidR="00BE6A6D">
        <w:rPr>
          <w:lang w:val="en-CA"/>
        </w:rPr>
        <w:t xml:space="preserve"> of strong t-CNF network in amorphous phase and randomly distributed, dense spherulites</w:t>
      </w:r>
      <w:r w:rsidR="00D514EA">
        <w:rPr>
          <w:lang w:val="en-CA"/>
        </w:rPr>
        <w:t xml:space="preserve"> of high MW PEO</w:t>
      </w:r>
      <w:r w:rsidR="00BE6A6D">
        <w:rPr>
          <w:lang w:val="en-CA"/>
        </w:rPr>
        <w:t>, is responsible for th</w:t>
      </w:r>
      <w:r w:rsidR="00D514EA">
        <w:rPr>
          <w:lang w:val="en-CA"/>
        </w:rPr>
        <w:t>e enhancement in performance</w:t>
      </w:r>
      <w:r w:rsidR="00BE6A6D">
        <w:rPr>
          <w:lang w:val="en-CA"/>
        </w:rPr>
        <w:t xml:space="preserve">. </w:t>
      </w:r>
      <w:r w:rsidR="009B114C">
        <w:rPr>
          <w:lang w:val="en-CA"/>
        </w:rPr>
        <w:t xml:space="preserve">Electrochemical strain microscopy </w:t>
      </w:r>
      <w:r w:rsidR="00697AD3">
        <w:rPr>
          <w:lang w:val="en-CA"/>
        </w:rPr>
        <w:t>reveals enhanced mobility of Li</w:t>
      </w:r>
      <w:r w:rsidR="00697AD3" w:rsidRPr="00C95709">
        <w:rPr>
          <w:vertAlign w:val="superscript"/>
          <w:lang w:val="en-CA"/>
        </w:rPr>
        <w:t>+</w:t>
      </w:r>
      <w:r w:rsidR="00697AD3">
        <w:rPr>
          <w:lang w:val="en-CA"/>
        </w:rPr>
        <w:t xml:space="preserve"> in low </w:t>
      </w:r>
      <w:r w:rsidR="007C4BC9">
        <w:rPr>
          <w:lang w:val="en-CA"/>
        </w:rPr>
        <w:t>MW</w:t>
      </w:r>
      <w:r w:rsidR="00697AD3">
        <w:rPr>
          <w:lang w:val="en-CA"/>
        </w:rPr>
        <w:t xml:space="preserve"> PEO while solid state </w:t>
      </w:r>
      <w:r w:rsidR="00310D76" w:rsidRPr="00D120AC">
        <w:rPr>
          <w:vertAlign w:val="superscript"/>
          <w:lang w:val="en-CA"/>
        </w:rPr>
        <w:t>7</w:t>
      </w:r>
      <w:r w:rsidR="00310D76" w:rsidRPr="00D120AC">
        <w:rPr>
          <w:lang w:val="en-CA"/>
        </w:rPr>
        <w:t>Li</w:t>
      </w:r>
      <w:r w:rsidR="00310D76">
        <w:rPr>
          <w:lang w:val="en-CA"/>
        </w:rPr>
        <w:t xml:space="preserve"> NMR </w:t>
      </w:r>
      <w:r w:rsidR="00697AD3">
        <w:rPr>
          <w:lang w:val="en-CA"/>
        </w:rPr>
        <w:t>proves that there is no Li</w:t>
      </w:r>
      <w:r w:rsidR="00697AD3" w:rsidRPr="00C95709">
        <w:rPr>
          <w:vertAlign w:val="superscript"/>
          <w:lang w:val="en-CA"/>
        </w:rPr>
        <w:t>+</w:t>
      </w:r>
      <w:r w:rsidR="00697AD3">
        <w:rPr>
          <w:lang w:val="en-CA"/>
        </w:rPr>
        <w:t xml:space="preserve"> coordination with t-CNF. </w:t>
      </w:r>
      <w:r w:rsidR="00133F75">
        <w:rPr>
          <w:lang w:val="en-CA"/>
        </w:rPr>
        <w:t xml:space="preserve">While this study focused on t-CNF </w:t>
      </w:r>
      <w:r w:rsidR="00BE6A6D">
        <w:rPr>
          <w:lang w:val="en-CA"/>
        </w:rPr>
        <w:t>and PEO system,</w:t>
      </w:r>
      <w:r w:rsidR="00D514EA">
        <w:rPr>
          <w:lang w:val="en-CA"/>
        </w:rPr>
        <w:t xml:space="preserve"> our findings </w:t>
      </w:r>
      <w:r w:rsidR="006D4692">
        <w:rPr>
          <w:lang w:val="en-CA"/>
        </w:rPr>
        <w:t>elucidate</w:t>
      </w:r>
      <w:r w:rsidR="00D514EA">
        <w:rPr>
          <w:lang w:val="en-CA"/>
        </w:rPr>
        <w:t xml:space="preserve"> importance of linking</w:t>
      </w:r>
      <w:r w:rsidR="00BE6A6D">
        <w:rPr>
          <w:lang w:val="en-CA"/>
        </w:rPr>
        <w:t xml:space="preserve"> </w:t>
      </w:r>
      <w:r w:rsidR="00D514EA">
        <w:rPr>
          <w:lang w:val="en-CA"/>
        </w:rPr>
        <w:t>the spatiotemporal dynamics of spherulitic growth and particle ordering for the effective design of CPSE with enhanced conductivity and long-term performanc</w:t>
      </w:r>
      <w:r w:rsidR="006D4692">
        <w:rPr>
          <w:lang w:val="en-CA"/>
        </w:rPr>
        <w:t>e.</w:t>
      </w:r>
    </w:p>
    <w:p w14:paraId="1AA0CCEC" w14:textId="77777777" w:rsidR="006C06F0" w:rsidRPr="00D120AC" w:rsidRDefault="006C06F0" w:rsidP="006C06F0">
      <w:pPr>
        <w:pStyle w:val="berschrift1"/>
      </w:pPr>
      <w:r w:rsidRPr="00D120AC">
        <w:t>Experimental Section/Methods</w:t>
      </w:r>
    </w:p>
    <w:p w14:paraId="25E24437" w14:textId="77777777" w:rsidR="006C06F0" w:rsidRPr="00D120AC" w:rsidRDefault="006C06F0" w:rsidP="006C06F0">
      <w:pPr>
        <w:pStyle w:val="berschrift2"/>
      </w:pPr>
      <w:r w:rsidRPr="00D120AC">
        <w:t>Materials</w:t>
      </w:r>
    </w:p>
    <w:p w14:paraId="745FBA95" w14:textId="10119BDC" w:rsidR="006C06F0" w:rsidRPr="00D120AC" w:rsidRDefault="006C06F0" w:rsidP="006C06F0">
      <w:pPr>
        <w:autoSpaceDE w:val="0"/>
        <w:autoSpaceDN w:val="0"/>
        <w:adjustRightInd w:val="0"/>
        <w:spacing w:line="480" w:lineRule="auto"/>
        <w:ind w:firstLine="720"/>
        <w:rPr>
          <w:lang w:val="en-CA"/>
        </w:rPr>
      </w:pPr>
      <w:r w:rsidRPr="00D120AC">
        <w:rPr>
          <w:lang w:val="en-CA"/>
        </w:rPr>
        <w:t xml:space="preserve">PEO with two molecular weights, </w:t>
      </w:r>
      <w:proofErr w:type="gramStart"/>
      <w:r w:rsidRPr="00D120AC">
        <w:rPr>
          <w:lang w:val="en-CA"/>
        </w:rPr>
        <w:t>100</w:t>
      </w:r>
      <w:proofErr w:type="gramEnd"/>
      <w:r w:rsidRPr="00D120AC">
        <w:rPr>
          <w:lang w:val="en-CA"/>
        </w:rPr>
        <w:sym w:font="Symbol" w:char="F0B4"/>
      </w:r>
      <w:r w:rsidRPr="00D120AC">
        <w:rPr>
          <w:lang w:val="en-CA"/>
        </w:rPr>
        <w:t>10</w:t>
      </w:r>
      <w:r w:rsidRPr="00D120AC">
        <w:rPr>
          <w:vertAlign w:val="superscript"/>
          <w:lang w:val="en-CA"/>
        </w:rPr>
        <w:t>3</w:t>
      </w:r>
      <w:r w:rsidRPr="00D120AC">
        <w:rPr>
          <w:lang w:val="en-CA"/>
        </w:rPr>
        <w:t xml:space="preserve"> Da (PEO</w:t>
      </w:r>
      <w:r w:rsidRPr="00D120AC">
        <w:rPr>
          <w:vertAlign w:val="subscript"/>
          <w:lang w:val="en-CA"/>
        </w:rPr>
        <w:t>100k</w:t>
      </w:r>
      <w:r w:rsidRPr="00D120AC">
        <w:rPr>
          <w:lang w:val="en-CA"/>
        </w:rPr>
        <w:t>) in powder form and 4</w:t>
      </w:r>
      <w:r w:rsidRPr="00D120AC">
        <w:rPr>
          <w:lang w:val="en-CA"/>
        </w:rPr>
        <w:sym w:font="Symbol" w:char="F0B4"/>
      </w:r>
      <w:r w:rsidRPr="00D120AC">
        <w:rPr>
          <w:lang w:val="en-CA"/>
        </w:rPr>
        <w:t>10</w:t>
      </w:r>
      <w:r w:rsidRPr="00D120AC">
        <w:rPr>
          <w:vertAlign w:val="superscript"/>
          <w:lang w:val="en-CA"/>
        </w:rPr>
        <w:t>3</w:t>
      </w:r>
      <w:r w:rsidRPr="00D120AC">
        <w:rPr>
          <w:lang w:val="en-CA"/>
        </w:rPr>
        <w:t xml:space="preserve"> Da (PEO</w:t>
      </w:r>
      <w:r w:rsidRPr="00D120AC">
        <w:rPr>
          <w:vertAlign w:val="subscript"/>
          <w:lang w:val="en-CA"/>
        </w:rPr>
        <w:t>4k</w:t>
      </w:r>
      <w:r w:rsidRPr="00D120AC">
        <w:rPr>
          <w:lang w:val="en-CA"/>
        </w:rPr>
        <w:t>) in the form of pellets, and LiClO</w:t>
      </w:r>
      <w:r w:rsidRPr="00D120AC">
        <w:rPr>
          <w:vertAlign w:val="subscript"/>
          <w:lang w:val="en-CA"/>
        </w:rPr>
        <w:t>4</w:t>
      </w:r>
      <w:r w:rsidRPr="00D120AC">
        <w:rPr>
          <w:lang w:val="en-CA"/>
        </w:rPr>
        <w:t xml:space="preserve"> were acquired from Sigma-Aldrich. </w:t>
      </w:r>
      <w:r w:rsidR="00C35DF1">
        <w:rPr>
          <w:lang w:val="en-CA"/>
        </w:rPr>
        <w:t>t</w:t>
      </w:r>
      <w:r w:rsidRPr="00D120AC">
        <w:rPr>
          <w:lang w:val="en-CA"/>
        </w:rPr>
        <w:t xml:space="preserve">-CNFs </w:t>
      </w:r>
      <w:r w:rsidR="00606B11" w:rsidRPr="00327C76">
        <w:rPr>
          <w:lang w:val="en-CA"/>
        </w:rPr>
        <w:t xml:space="preserve">produced from wood pulp </w:t>
      </w:r>
      <w:proofErr w:type="gramStart"/>
      <w:r w:rsidRPr="00327C76">
        <w:rPr>
          <w:lang w:val="en-CA"/>
        </w:rPr>
        <w:t>were purchased</w:t>
      </w:r>
      <w:proofErr w:type="gramEnd"/>
      <w:r w:rsidRPr="00327C76">
        <w:rPr>
          <w:lang w:val="en-CA"/>
        </w:rPr>
        <w:t xml:space="preserve"> from the University of Maine and had a carboxylic acid content of 1.5 mmol/g</w:t>
      </w:r>
      <w:r w:rsidR="00606B11" w:rsidRPr="00327C76">
        <w:rPr>
          <w:lang w:val="en-CA"/>
        </w:rPr>
        <w:t xml:space="preserve"> and dimensions of 10 nm in width and 1-5 </w:t>
      </w:r>
      <w:r w:rsidR="00606B11" w:rsidRPr="00327C76">
        <w:rPr>
          <w:rFonts w:ascii="Symbol" w:hAnsi="Symbol"/>
          <w:lang w:val="en-CA"/>
        </w:rPr>
        <w:t>m</w:t>
      </w:r>
      <w:r w:rsidR="00606B11" w:rsidRPr="00327C76">
        <w:rPr>
          <w:lang w:val="en-CA"/>
        </w:rPr>
        <w:t>m length</w:t>
      </w:r>
      <w:r w:rsidR="005416DE" w:rsidRPr="00327C76">
        <w:rPr>
          <w:lang w:val="en-CA"/>
        </w:rPr>
        <w:t>, according to the manufacturer specifications</w:t>
      </w:r>
      <w:r w:rsidRPr="00327C76">
        <w:rPr>
          <w:lang w:val="en-CA"/>
        </w:rPr>
        <w:t xml:space="preserve">. All water used </w:t>
      </w:r>
      <w:proofErr w:type="gramStart"/>
      <w:r w:rsidRPr="00327C76">
        <w:rPr>
          <w:lang w:val="en-CA"/>
        </w:rPr>
        <w:t>was purified</w:t>
      </w:r>
      <w:proofErr w:type="gramEnd"/>
      <w:r w:rsidRPr="00327C76">
        <w:rPr>
          <w:lang w:val="en-CA"/>
        </w:rPr>
        <w:t xml:space="preserve"> using a Milli-Q apparatus (18.2 MΩ.cm at 25 °C, pH – 6.5) and is referred to as purified or deionized (DI) water in the subsequent text.</w:t>
      </w:r>
    </w:p>
    <w:p w14:paraId="1785E6B5" w14:textId="77777777" w:rsidR="006C06F0" w:rsidRPr="00D120AC" w:rsidRDefault="006C06F0" w:rsidP="006C06F0">
      <w:pPr>
        <w:pStyle w:val="berschrift2"/>
      </w:pPr>
      <w:r w:rsidRPr="00D120AC">
        <w:lastRenderedPageBreak/>
        <w:t>Fabrication of SPEs and CSPEs</w:t>
      </w:r>
    </w:p>
    <w:p w14:paraId="06F07BE8" w14:textId="062D94C5" w:rsidR="006C06F0" w:rsidRPr="00D120AC" w:rsidRDefault="006C06F0" w:rsidP="006C06F0">
      <w:pPr>
        <w:autoSpaceDE w:val="0"/>
        <w:autoSpaceDN w:val="0"/>
        <w:adjustRightInd w:val="0"/>
        <w:spacing w:line="480" w:lineRule="auto"/>
        <w:ind w:firstLine="720"/>
        <w:contextualSpacing/>
        <w:rPr>
          <w:lang w:val="en-CA"/>
        </w:rPr>
      </w:pPr>
      <w:r w:rsidRPr="00D120AC">
        <w:rPr>
          <w:lang w:val="en-CA"/>
        </w:rPr>
        <w:t>Films of PEO-LiClO</w:t>
      </w:r>
      <w:r w:rsidRPr="00D120AC">
        <w:rPr>
          <w:vertAlign w:val="subscript"/>
          <w:lang w:val="en-CA"/>
        </w:rPr>
        <w:t>4</w:t>
      </w:r>
      <w:r w:rsidRPr="00D120AC">
        <w:rPr>
          <w:lang w:val="en-CA"/>
        </w:rPr>
        <w:t xml:space="preserve"> with a [O</w:t>
      </w:r>
      <w:proofErr w:type="gramStart"/>
      <w:r w:rsidRPr="00D120AC">
        <w:rPr>
          <w:lang w:val="en-CA"/>
        </w:rPr>
        <w:t>]:[</w:t>
      </w:r>
      <w:proofErr w:type="gramEnd"/>
      <w:r w:rsidRPr="00D120AC">
        <w:rPr>
          <w:lang w:val="en-CA"/>
        </w:rPr>
        <w:t>Li] molar ratio of 10:1 were prepared by solution mixing in purified water and subsequent film casting. To produce a homogeneous solution of PEO and LiClO</w:t>
      </w:r>
      <w:r w:rsidRPr="00D120AC">
        <w:rPr>
          <w:vertAlign w:val="subscript"/>
          <w:lang w:val="en-CA"/>
        </w:rPr>
        <w:t>4</w:t>
      </w:r>
      <w:r w:rsidRPr="00D120AC">
        <w:rPr>
          <w:lang w:val="en-CA"/>
        </w:rPr>
        <w:t xml:space="preserve">, the components </w:t>
      </w:r>
      <w:proofErr w:type="gramStart"/>
      <w:r w:rsidRPr="00D120AC">
        <w:rPr>
          <w:lang w:val="en-CA"/>
        </w:rPr>
        <w:t>were dissolved</w:t>
      </w:r>
      <w:proofErr w:type="gramEnd"/>
      <w:r w:rsidRPr="00D120AC">
        <w:rPr>
          <w:lang w:val="en-CA"/>
        </w:rPr>
        <w:t xml:space="preserve"> in water and stirred for 48 h at 60ºC in a sealed container using a magnetic stirrer. The solution was then cast into a polystyrene petri dish and left to dry at room temperature for 48 h. Freestanding films with thicknesses around </w:t>
      </w:r>
      <w:proofErr w:type="gramStart"/>
      <w:r w:rsidRPr="00D120AC">
        <w:rPr>
          <w:lang w:val="en-CA"/>
        </w:rPr>
        <w:t>100</w:t>
      </w:r>
      <w:proofErr w:type="gramEnd"/>
      <w:r w:rsidRPr="00D120AC">
        <w:rPr>
          <w:lang w:val="en-CA"/>
        </w:rPr>
        <w:t xml:space="preserve"> </w:t>
      </w:r>
      <w:proofErr w:type="spellStart"/>
      <w:r w:rsidRPr="00D120AC">
        <w:rPr>
          <w:lang w:val="en-CA"/>
        </w:rPr>
        <w:t>μm</w:t>
      </w:r>
      <w:proofErr w:type="spellEnd"/>
      <w:r w:rsidRPr="00D120AC">
        <w:rPr>
          <w:lang w:val="en-CA"/>
        </w:rPr>
        <w:t xml:space="preserve"> were obtained (Figure S</w:t>
      </w:r>
      <w:r w:rsidR="00B2571A">
        <w:rPr>
          <w:lang w:val="en-CA"/>
        </w:rPr>
        <w:t>1,</w:t>
      </w:r>
      <w:r w:rsidRPr="00D120AC">
        <w:rPr>
          <w:lang w:val="en-CA"/>
        </w:rPr>
        <w:t xml:space="preserve"> Supporting Information). The films were dried in a vacuum oven at 40ºC for an additional 24 h. Neat t-CNF films were prepared by solution casting from a 1 wt. % aqueous dispersion and dried at ambient temperature for 48 h, followed by vacuum drying at 60ºC for an additional 24 h. CSPEs with 33 and 20 </w:t>
      </w:r>
      <w:proofErr w:type="spellStart"/>
      <w:r w:rsidRPr="00D120AC">
        <w:rPr>
          <w:lang w:val="en-CA"/>
        </w:rPr>
        <w:t>wt</w:t>
      </w:r>
      <w:proofErr w:type="spellEnd"/>
      <w:r w:rsidRPr="00D120AC">
        <w:rPr>
          <w:lang w:val="en-CA"/>
        </w:rPr>
        <w:t xml:space="preserve"> % t-CNF in PEO-LiClO</w:t>
      </w:r>
      <w:r w:rsidRPr="00D120AC">
        <w:rPr>
          <w:vertAlign w:val="subscript"/>
          <w:lang w:val="en-CA"/>
        </w:rPr>
        <w:t>4</w:t>
      </w:r>
      <w:r w:rsidRPr="00D120AC">
        <w:rPr>
          <w:lang w:val="en-CA"/>
        </w:rPr>
        <w:t xml:space="preserve"> were prepared by mixing the appropriate amounts of pre-made PEO-LiClO</w:t>
      </w:r>
      <w:r w:rsidRPr="00D120AC">
        <w:rPr>
          <w:vertAlign w:val="subscript"/>
          <w:lang w:val="en-CA"/>
        </w:rPr>
        <w:t>4</w:t>
      </w:r>
      <w:r w:rsidRPr="00D120AC">
        <w:rPr>
          <w:lang w:val="en-CA"/>
        </w:rPr>
        <w:t xml:space="preserve"> solution and 1 wt. % t-CNF dispersion for 24 h at 60ºC. The resulting suspension was a highly viscous slurry that </w:t>
      </w:r>
      <w:proofErr w:type="gramStart"/>
      <w:r w:rsidRPr="00D120AC">
        <w:rPr>
          <w:lang w:val="en-CA"/>
        </w:rPr>
        <w:t>was cast</w:t>
      </w:r>
      <w:proofErr w:type="gramEnd"/>
      <w:r w:rsidRPr="00D120AC">
        <w:rPr>
          <w:lang w:val="en-CA"/>
        </w:rPr>
        <w:t xml:space="preserve"> in a polystyrene petri dish and kept under mixing for 1 h to remove air bubbles. The casted slurry </w:t>
      </w:r>
      <w:proofErr w:type="gramStart"/>
      <w:r w:rsidRPr="00D120AC">
        <w:rPr>
          <w:lang w:val="en-CA"/>
        </w:rPr>
        <w:t>was dried</w:t>
      </w:r>
      <w:proofErr w:type="gramEnd"/>
      <w:r w:rsidRPr="00D120AC">
        <w:rPr>
          <w:lang w:val="en-CA"/>
        </w:rPr>
        <w:t xml:space="preserve"> at ambient temperature for 48 h with subsequent drying in a vacuum for 24 h at 40 ºC.</w:t>
      </w:r>
    </w:p>
    <w:p w14:paraId="52CE3811" w14:textId="77777777" w:rsidR="006C06F0" w:rsidRPr="00D120AC" w:rsidRDefault="006C06F0" w:rsidP="006C06F0">
      <w:pPr>
        <w:pStyle w:val="berschrift2"/>
      </w:pPr>
      <w:r w:rsidRPr="00D120AC">
        <w:t>Morphological study</w:t>
      </w:r>
    </w:p>
    <w:p w14:paraId="4C49B446" w14:textId="3258404B" w:rsidR="006C06F0" w:rsidRPr="00D120AC" w:rsidRDefault="006C06F0" w:rsidP="006C06F0">
      <w:pPr>
        <w:autoSpaceDE w:val="0"/>
        <w:autoSpaceDN w:val="0"/>
        <w:adjustRightInd w:val="0"/>
        <w:spacing w:line="480" w:lineRule="auto"/>
        <w:ind w:firstLine="720"/>
        <w:rPr>
          <w:lang w:val="en-CA"/>
        </w:rPr>
      </w:pPr>
      <w:r w:rsidRPr="00D120AC">
        <w:rPr>
          <w:lang w:val="en-CA"/>
        </w:rPr>
        <w:t xml:space="preserve">2D laser scanning confocal microscopy (LSCM) with a white light laser source </w:t>
      </w:r>
      <w:proofErr w:type="gramStart"/>
      <w:r w:rsidRPr="00D120AC">
        <w:rPr>
          <w:lang w:val="en-CA"/>
        </w:rPr>
        <w:t>was utilized</w:t>
      </w:r>
      <w:proofErr w:type="gramEnd"/>
      <w:r w:rsidRPr="00D120AC">
        <w:rPr>
          <w:lang w:val="en-CA"/>
        </w:rPr>
        <w:t xml:space="preserve"> to characterize the morphology of polymer films containing PEO only, PEO and Li salt, and the three component CSPE with PEO, Li salt and t-CNF. The dried films </w:t>
      </w:r>
      <w:proofErr w:type="gramStart"/>
      <w:r w:rsidRPr="00D120AC">
        <w:rPr>
          <w:lang w:val="en-CA"/>
        </w:rPr>
        <w:t>were placed</w:t>
      </w:r>
      <w:proofErr w:type="gramEnd"/>
      <w:r w:rsidRPr="00D120AC">
        <w:rPr>
          <w:lang w:val="en-CA"/>
        </w:rPr>
        <w:t xml:space="preserve"> between two coverslips and imaged with 10x, 20x, and 63x objectives in a 1024x1024 resolution with varying pixel sizes achieved depending on the applied magnification. The magnification </w:t>
      </w:r>
      <w:proofErr w:type="gramStart"/>
      <w:r w:rsidRPr="00D120AC">
        <w:rPr>
          <w:lang w:val="en-CA"/>
        </w:rPr>
        <w:t>was chosen</w:t>
      </w:r>
      <w:proofErr w:type="gramEnd"/>
      <w:r w:rsidRPr="00D120AC">
        <w:rPr>
          <w:lang w:val="en-CA"/>
        </w:rPr>
        <w:t xml:space="preserve"> based on the characteristic size of the morphological features. To resolve PEO, t-CNF, and Li salt within the films, three techniques </w:t>
      </w:r>
      <w:proofErr w:type="gramStart"/>
      <w:r w:rsidRPr="00D120AC">
        <w:rPr>
          <w:lang w:val="en-CA"/>
        </w:rPr>
        <w:t>were used</w:t>
      </w:r>
      <w:proofErr w:type="gramEnd"/>
      <w:r w:rsidRPr="00D120AC">
        <w:rPr>
          <w:lang w:val="en-CA"/>
        </w:rPr>
        <w:t xml:space="preserve"> </w:t>
      </w:r>
      <w:r>
        <w:rPr>
          <w:lang w:val="en-CA"/>
        </w:rPr>
        <w:t>–</w:t>
      </w:r>
      <w:r w:rsidRPr="00D120AC">
        <w:rPr>
          <w:lang w:val="en-CA"/>
        </w:rPr>
        <w:t xml:space="preserve"> polarized transmission, fluorescence, and reflectance imaging, respectively. To unambiguously localize </w:t>
      </w:r>
      <w:r w:rsidRPr="00D120AC">
        <w:rPr>
          <w:lang w:val="en-CA"/>
        </w:rPr>
        <w:lastRenderedPageBreak/>
        <w:t>the t-CNF phase within the film and observe its influence on the PEO crystalline domains, the t-CNFs were labeled with the fluorescent dye Rhodamine B (Sigma Aldrich) following previously reported protocols and detected using the 552 nm excitation light, with emission in the range of 560-620 nm.</w:t>
      </w:r>
      <w:r w:rsidR="00E11FCF">
        <w:rPr>
          <w:vertAlign w:val="superscript"/>
          <w:lang w:val="en-CA"/>
        </w:rPr>
        <w:t>46</w:t>
      </w:r>
      <w:r w:rsidRPr="00D120AC">
        <w:rPr>
          <w:lang w:val="en-CA"/>
        </w:rPr>
        <w:t xml:space="preserve"> Knowing that Li salt can alter PEO crystallinity even before the introduction of t-CNFs, its localization within the PEO matrix was achieved by reflectance imaging in the region of 638 nm.</w:t>
      </w:r>
    </w:p>
    <w:p w14:paraId="4295C1F0" w14:textId="77777777" w:rsidR="006C06F0" w:rsidRPr="00D120AC" w:rsidRDefault="006C06F0" w:rsidP="006C06F0">
      <w:pPr>
        <w:autoSpaceDE w:val="0"/>
        <w:autoSpaceDN w:val="0"/>
        <w:adjustRightInd w:val="0"/>
        <w:spacing w:line="480" w:lineRule="auto"/>
        <w:ind w:firstLine="720"/>
        <w:rPr>
          <w:lang w:val="en-CA"/>
        </w:rPr>
      </w:pPr>
      <w:r w:rsidRPr="00D120AC">
        <w:rPr>
          <w:lang w:val="en-CA"/>
        </w:rPr>
        <w:t xml:space="preserve">In addition to optical LSCM, scanning electron microscopy (SEM) </w:t>
      </w:r>
      <w:proofErr w:type="gramStart"/>
      <w:r w:rsidRPr="00D120AC">
        <w:rPr>
          <w:lang w:val="en-CA"/>
        </w:rPr>
        <w:t>was utilized</w:t>
      </w:r>
      <w:proofErr w:type="gramEnd"/>
      <w:r w:rsidRPr="00D120AC">
        <w:rPr>
          <w:lang w:val="en-CA"/>
        </w:rPr>
        <w:t xml:space="preserve"> for CSPE film surface roughness assessment using a Zeiss Sigma VP SEM at 2 kV accelerating voltage.</w:t>
      </w:r>
    </w:p>
    <w:p w14:paraId="063DEC3B" w14:textId="77777777" w:rsidR="006C06F0" w:rsidRPr="00D120AC" w:rsidRDefault="006C06F0" w:rsidP="006C06F0">
      <w:pPr>
        <w:pStyle w:val="berschrift2"/>
      </w:pPr>
      <w:r w:rsidRPr="00D120AC">
        <w:t>Thermogravimetric Analysis</w:t>
      </w:r>
    </w:p>
    <w:p w14:paraId="109C5752" w14:textId="77777777" w:rsidR="006C06F0" w:rsidRPr="00D120AC" w:rsidRDefault="006C06F0" w:rsidP="006C06F0">
      <w:pPr>
        <w:autoSpaceDE w:val="0"/>
        <w:autoSpaceDN w:val="0"/>
        <w:adjustRightInd w:val="0"/>
        <w:spacing w:line="480" w:lineRule="auto"/>
        <w:ind w:firstLine="720"/>
        <w:rPr>
          <w:lang w:val="en-CA"/>
        </w:rPr>
      </w:pPr>
      <w:r w:rsidRPr="00D120AC">
        <w:rPr>
          <w:lang w:val="en-CA"/>
        </w:rPr>
        <w:t xml:space="preserve">TGA was </w:t>
      </w:r>
      <w:proofErr w:type="gramStart"/>
      <w:r w:rsidRPr="00D120AC">
        <w:rPr>
          <w:lang w:val="en-CA"/>
        </w:rPr>
        <w:t>carried out</w:t>
      </w:r>
      <w:proofErr w:type="gramEnd"/>
      <w:r w:rsidRPr="00D120AC">
        <w:rPr>
          <w:lang w:val="en-CA"/>
        </w:rPr>
        <w:t xml:space="preserve"> to assess thermal stability of developed electrolytes. Samples were </w:t>
      </w:r>
      <w:proofErr w:type="gramStart"/>
      <w:r w:rsidRPr="00D120AC">
        <w:rPr>
          <w:lang w:val="en-CA"/>
        </w:rPr>
        <w:t>tested</w:t>
      </w:r>
      <w:proofErr w:type="gramEnd"/>
      <w:r w:rsidRPr="00D120AC">
        <w:rPr>
          <w:lang w:val="en-CA"/>
        </w:rPr>
        <w:t xml:space="preserve"> on </w:t>
      </w:r>
      <w:proofErr w:type="spellStart"/>
      <w:r w:rsidRPr="00D120AC">
        <w:rPr>
          <w:lang w:val="en-CA"/>
        </w:rPr>
        <w:t>Netzsch</w:t>
      </w:r>
      <w:proofErr w:type="spellEnd"/>
      <w:r w:rsidRPr="00D120AC">
        <w:rPr>
          <w:lang w:val="en-CA"/>
        </w:rPr>
        <w:t xml:space="preserve"> STA 409 PC under Nitrogen atmosphere in a temperature range of 0 </w:t>
      </w:r>
      <w:r>
        <w:rPr>
          <w:lang w:val="en-CA"/>
        </w:rPr>
        <w:t>–</w:t>
      </w:r>
      <w:r w:rsidRPr="00D120AC">
        <w:rPr>
          <w:lang w:val="en-CA"/>
        </w:rPr>
        <w:t xml:space="preserve"> 500 ºC.</w:t>
      </w:r>
    </w:p>
    <w:p w14:paraId="58CEADFE" w14:textId="77777777" w:rsidR="006C06F0" w:rsidRPr="00D120AC" w:rsidRDefault="006C06F0" w:rsidP="006C06F0">
      <w:pPr>
        <w:pStyle w:val="berschrift2"/>
      </w:pPr>
      <w:r w:rsidRPr="00D120AC">
        <w:t>Ionic conductivity</w:t>
      </w:r>
    </w:p>
    <w:p w14:paraId="0BF5D4E0" w14:textId="5CE59EB6" w:rsidR="006C06F0" w:rsidRPr="00D120AC" w:rsidRDefault="006C06F0" w:rsidP="006C06F0">
      <w:pPr>
        <w:tabs>
          <w:tab w:val="left" w:pos="8080"/>
        </w:tabs>
        <w:autoSpaceDE w:val="0"/>
        <w:autoSpaceDN w:val="0"/>
        <w:adjustRightInd w:val="0"/>
        <w:spacing w:line="480" w:lineRule="auto"/>
        <w:ind w:firstLine="720"/>
        <w:contextualSpacing/>
        <w:rPr>
          <w:color w:val="000000" w:themeColor="text1"/>
          <w:lang w:val="en-CA"/>
        </w:rPr>
      </w:pPr>
      <w:r w:rsidRPr="00D120AC">
        <w:rPr>
          <w:color w:val="000000" w:themeColor="text1"/>
          <w:lang w:val="en-CA"/>
        </w:rPr>
        <w:t xml:space="preserve">Electrochemical impedance spectroscopy (EIS) </w:t>
      </w:r>
      <w:proofErr w:type="gramStart"/>
      <w:r w:rsidRPr="00D120AC">
        <w:rPr>
          <w:color w:val="000000" w:themeColor="text1"/>
          <w:lang w:val="en-CA"/>
        </w:rPr>
        <w:t>was utilized</w:t>
      </w:r>
      <w:proofErr w:type="gramEnd"/>
      <w:r w:rsidRPr="00D120AC">
        <w:rPr>
          <w:color w:val="000000" w:themeColor="text1"/>
          <w:lang w:val="en-CA"/>
        </w:rPr>
        <w:t xml:space="preserve"> for ionic conductivity measurements. The cell assembly consisted of the CSPE film sandwiched between two blocking stainless steel electrodes connected to the potentiostat clamps with copper tape as a current collector. For neat t-CNF samples, gold sputtering </w:t>
      </w:r>
      <w:proofErr w:type="gramStart"/>
      <w:r w:rsidRPr="00D120AC">
        <w:rPr>
          <w:color w:val="000000" w:themeColor="text1"/>
          <w:lang w:val="en-CA"/>
        </w:rPr>
        <w:t>was used</w:t>
      </w:r>
      <w:proofErr w:type="gramEnd"/>
      <w:r w:rsidRPr="00D120AC">
        <w:rPr>
          <w:color w:val="000000" w:themeColor="text1"/>
          <w:lang w:val="en-CA"/>
        </w:rPr>
        <w:t xml:space="preserve"> to create an analog of electrode on both sides of the film and copper tape was attached to the gold coating for the EIS measurements. All samples were </w:t>
      </w:r>
      <w:proofErr w:type="gramStart"/>
      <w:r w:rsidRPr="00D120AC">
        <w:rPr>
          <w:color w:val="000000" w:themeColor="text1"/>
          <w:lang w:val="en-CA"/>
        </w:rPr>
        <w:t>tested</w:t>
      </w:r>
      <w:proofErr w:type="gramEnd"/>
      <w:r w:rsidRPr="00D120AC">
        <w:rPr>
          <w:color w:val="000000" w:themeColor="text1"/>
          <w:lang w:val="en-CA"/>
        </w:rPr>
        <w:t xml:space="preserve"> in a temperature range of 25 </w:t>
      </w:r>
      <w:r>
        <w:rPr>
          <w:lang w:val="en-CA"/>
        </w:rPr>
        <w:t>–</w:t>
      </w:r>
      <w:r w:rsidRPr="00D120AC">
        <w:rPr>
          <w:lang w:val="en-CA"/>
        </w:rPr>
        <w:t xml:space="preserve"> 100 ºC </w:t>
      </w:r>
      <w:r w:rsidRPr="00D120AC">
        <w:rPr>
          <w:color w:val="000000" w:themeColor="text1"/>
          <w:lang w:val="en-CA"/>
        </w:rPr>
        <w:t xml:space="preserve">and a frequency range between 0.1 Hz </w:t>
      </w:r>
      <w:r>
        <w:rPr>
          <w:color w:val="000000" w:themeColor="text1"/>
          <w:lang w:val="en-CA"/>
        </w:rPr>
        <w:t>–</w:t>
      </w:r>
      <w:r w:rsidRPr="00D120AC">
        <w:rPr>
          <w:color w:val="000000" w:themeColor="text1"/>
          <w:lang w:val="en-CA"/>
        </w:rPr>
        <w:t xml:space="preserve"> 3 MHz, using DC potential value of 20 mV. The </w:t>
      </w:r>
      <w:r w:rsidRPr="00D120AC">
        <w:rPr>
          <w:bCs/>
          <w:color w:val="000000" w:themeColor="text1"/>
          <w:lang w:val="en-CA"/>
        </w:rPr>
        <w:t>x-axis</w:t>
      </w:r>
      <w:r w:rsidRPr="00D120AC">
        <w:rPr>
          <w:color w:val="000000" w:themeColor="text1"/>
          <w:lang w:val="en-CA"/>
        </w:rPr>
        <w:t xml:space="preserve"> intercepts of the suppressed semicircles on the resulting Nyquist plots </w:t>
      </w:r>
      <w:proofErr w:type="gramStart"/>
      <w:r w:rsidRPr="00D120AC">
        <w:rPr>
          <w:color w:val="000000" w:themeColor="text1"/>
          <w:lang w:val="en-CA"/>
        </w:rPr>
        <w:t>were used</w:t>
      </w:r>
      <w:proofErr w:type="gramEnd"/>
      <w:r w:rsidRPr="00D120AC">
        <w:rPr>
          <w:color w:val="000000" w:themeColor="text1"/>
          <w:lang w:val="en-CA"/>
        </w:rPr>
        <w:t xml:space="preserve"> as the resistance value of </w:t>
      </w:r>
      <w:r w:rsidRPr="00D120AC">
        <w:rPr>
          <w:color w:val="000000" w:themeColor="text1"/>
          <w:lang w:val="en-CA"/>
        </w:rPr>
        <w:lastRenderedPageBreak/>
        <w:t>the samples (Figure S</w:t>
      </w:r>
      <w:r w:rsidR="00B2571A">
        <w:rPr>
          <w:color w:val="000000" w:themeColor="text1"/>
          <w:lang w:val="en-CA"/>
        </w:rPr>
        <w:t>2</w:t>
      </w:r>
      <w:r w:rsidRPr="00D120AC">
        <w:rPr>
          <w:color w:val="000000" w:themeColor="text1"/>
          <w:lang w:val="en-CA"/>
        </w:rPr>
        <w:t xml:space="preserve">, Supporting Information). The resultant ionic conductivity of the tested sample </w:t>
      </w:r>
      <w:proofErr w:type="gramStart"/>
      <w:r w:rsidRPr="00D120AC">
        <w:rPr>
          <w:color w:val="000000" w:themeColor="text1"/>
          <w:lang w:val="en-CA"/>
        </w:rPr>
        <w:t>was calculated</w:t>
      </w:r>
      <w:proofErr w:type="gramEnd"/>
      <w:r w:rsidRPr="00D120AC">
        <w:rPr>
          <w:color w:val="000000" w:themeColor="text1"/>
          <w:lang w:val="en-CA"/>
        </w:rPr>
        <w:t xml:space="preserve"> using the formula:</w:t>
      </w:r>
    </w:p>
    <w:p w14:paraId="70F4428E" w14:textId="77777777" w:rsidR="006C06F0" w:rsidRPr="00D120AC" w:rsidRDefault="006C06F0" w:rsidP="006C06F0">
      <w:pPr>
        <w:autoSpaceDE w:val="0"/>
        <w:autoSpaceDN w:val="0"/>
        <w:adjustRightInd w:val="0"/>
        <w:spacing w:line="480" w:lineRule="auto"/>
        <w:contextualSpacing/>
        <w:rPr>
          <w:color w:val="000000" w:themeColor="text1"/>
          <w:lang w:val="en-CA"/>
        </w:rPr>
      </w:pPr>
      <w:r w:rsidRPr="00D120AC">
        <w:rPr>
          <w:rFonts w:ascii="Symbol" w:hAnsi="Symbol"/>
          <w:color w:val="000000" w:themeColor="text1"/>
          <w:lang w:val="en-CA"/>
        </w:rPr>
        <w:t></w:t>
      </w:r>
      <w:r w:rsidRPr="00D120AC">
        <w:rPr>
          <w:rFonts w:ascii="Symbol" w:hAnsi="Symbol"/>
          <w:color w:val="000000" w:themeColor="text1"/>
          <w:lang w:val="en-CA"/>
        </w:rPr>
        <w:t></w:t>
      </w:r>
      <w:r w:rsidRPr="00D120AC">
        <w:rPr>
          <w:color w:val="000000" w:themeColor="text1"/>
          <w:lang w:val="en-CA"/>
        </w:rPr>
        <w:t>= L/(A</w:t>
      </w:r>
      <w:r w:rsidRPr="00D120AC">
        <w:rPr>
          <w:color w:val="000000" w:themeColor="text1"/>
          <w:lang w:val="en-CA"/>
        </w:rPr>
        <w:sym w:font="Symbol" w:char="F0B4"/>
      </w:r>
      <w:r w:rsidRPr="00D120AC">
        <w:rPr>
          <w:color w:val="000000" w:themeColor="text1"/>
          <w:lang w:val="en-CA"/>
        </w:rPr>
        <w:t>R)</w:t>
      </w:r>
      <w:r w:rsidRPr="00D120AC">
        <w:rPr>
          <w:color w:val="000000" w:themeColor="text1"/>
          <w:lang w:val="en-CA"/>
        </w:rPr>
        <w:tab/>
      </w:r>
      <w:r w:rsidRPr="00D120AC">
        <w:rPr>
          <w:color w:val="000000" w:themeColor="text1"/>
          <w:lang w:val="en-CA"/>
        </w:rPr>
        <w:tab/>
      </w:r>
      <w:r w:rsidRPr="00D120AC">
        <w:rPr>
          <w:color w:val="000000" w:themeColor="text1"/>
          <w:lang w:val="en-CA"/>
        </w:rPr>
        <w:tab/>
      </w:r>
      <w:r w:rsidRPr="00D120AC">
        <w:rPr>
          <w:color w:val="000000" w:themeColor="text1"/>
          <w:lang w:val="en-CA"/>
        </w:rPr>
        <w:tab/>
      </w:r>
      <w:r w:rsidRPr="00D120AC">
        <w:rPr>
          <w:color w:val="000000" w:themeColor="text1"/>
          <w:lang w:val="en-CA"/>
        </w:rPr>
        <w:tab/>
      </w:r>
      <w:r w:rsidRPr="00D120AC">
        <w:rPr>
          <w:color w:val="000000" w:themeColor="text1"/>
          <w:lang w:val="en-CA"/>
        </w:rPr>
        <w:tab/>
      </w:r>
      <w:r w:rsidRPr="00D120AC">
        <w:rPr>
          <w:color w:val="000000" w:themeColor="text1"/>
          <w:lang w:val="en-CA"/>
        </w:rPr>
        <w:tab/>
      </w:r>
      <w:r w:rsidRPr="00D120AC">
        <w:rPr>
          <w:color w:val="000000" w:themeColor="text1"/>
          <w:lang w:val="en-CA"/>
        </w:rPr>
        <w:tab/>
      </w:r>
      <w:r w:rsidRPr="00D120AC">
        <w:rPr>
          <w:color w:val="000000" w:themeColor="text1"/>
          <w:lang w:val="en-CA"/>
        </w:rPr>
        <w:tab/>
      </w:r>
      <w:r w:rsidRPr="00D120AC">
        <w:rPr>
          <w:color w:val="000000" w:themeColor="text1"/>
          <w:lang w:val="en-CA"/>
        </w:rPr>
        <w:tab/>
      </w:r>
      <w:r w:rsidRPr="00D120AC">
        <w:rPr>
          <w:color w:val="000000" w:themeColor="text1"/>
          <w:lang w:val="en-CA"/>
        </w:rPr>
        <w:tab/>
        <w:t>(1)</w:t>
      </w:r>
    </w:p>
    <w:p w14:paraId="65AA2FBB" w14:textId="77777777" w:rsidR="006C06F0" w:rsidRPr="00D120AC" w:rsidRDefault="006C06F0" w:rsidP="006C06F0">
      <w:pPr>
        <w:autoSpaceDE w:val="0"/>
        <w:autoSpaceDN w:val="0"/>
        <w:adjustRightInd w:val="0"/>
        <w:spacing w:line="480" w:lineRule="auto"/>
        <w:contextualSpacing/>
        <w:rPr>
          <w:color w:val="000000" w:themeColor="text1"/>
          <w:lang w:val="en-CA"/>
        </w:rPr>
      </w:pPr>
      <w:r w:rsidRPr="00D120AC">
        <w:rPr>
          <w:color w:val="000000" w:themeColor="text1"/>
          <w:lang w:val="en-CA"/>
        </w:rPr>
        <w:t xml:space="preserve">where </w:t>
      </w:r>
      <w:r w:rsidRPr="00D120AC">
        <w:rPr>
          <w:rFonts w:ascii="Symbol" w:hAnsi="Symbol"/>
          <w:color w:val="000000" w:themeColor="text1"/>
          <w:lang w:val="en-CA"/>
        </w:rPr>
        <w:t></w:t>
      </w:r>
      <w:r w:rsidRPr="00D120AC">
        <w:rPr>
          <w:rFonts w:ascii="Symbol" w:hAnsi="Symbol"/>
          <w:color w:val="000000" w:themeColor="text1"/>
          <w:lang w:val="en-CA"/>
        </w:rPr>
        <w:t></w:t>
      </w:r>
      <w:r w:rsidRPr="00D120AC">
        <w:rPr>
          <w:color w:val="000000" w:themeColor="text1"/>
          <w:lang w:val="en-CA"/>
        </w:rPr>
        <w:t>is the sample conductivity in S/cm, L represents the CSPE film thickness in cm, A is the contact area between electrode and electrolyte in cm</w:t>
      </w:r>
      <w:r w:rsidRPr="00D120AC">
        <w:rPr>
          <w:color w:val="000000" w:themeColor="text1"/>
          <w:vertAlign w:val="superscript"/>
          <w:lang w:val="en-CA"/>
        </w:rPr>
        <w:t>2</w:t>
      </w:r>
      <w:r w:rsidRPr="00D120AC">
        <w:rPr>
          <w:color w:val="000000" w:themeColor="text1"/>
          <w:lang w:val="en-CA"/>
        </w:rPr>
        <w:t>, and R the sample resistance (Ω) obtained from the Nyquist plot.</w:t>
      </w:r>
      <w:r w:rsidRPr="00D120AC">
        <w:rPr>
          <w:color w:val="000000" w:themeColor="text1"/>
          <w:vertAlign w:val="superscript"/>
          <w:lang w:val="en-CA"/>
        </w:rPr>
        <w:t>6</w:t>
      </w:r>
    </w:p>
    <w:p w14:paraId="4CF5F35F" w14:textId="77777777" w:rsidR="006C06F0" w:rsidRPr="00D120AC" w:rsidRDefault="006C06F0" w:rsidP="006C06F0">
      <w:pPr>
        <w:pStyle w:val="berschrift2"/>
      </w:pPr>
      <w:r w:rsidRPr="00D120AC">
        <w:t>Cycling behaviour</w:t>
      </w:r>
    </w:p>
    <w:p w14:paraId="12866692" w14:textId="77777777" w:rsidR="006C06F0" w:rsidRPr="00D120AC" w:rsidRDefault="006C06F0" w:rsidP="006C06F0">
      <w:pPr>
        <w:autoSpaceDE w:val="0"/>
        <w:autoSpaceDN w:val="0"/>
        <w:adjustRightInd w:val="0"/>
        <w:spacing w:line="480" w:lineRule="auto"/>
        <w:ind w:firstLine="720"/>
        <w:contextualSpacing/>
        <w:rPr>
          <w:color w:val="000000" w:themeColor="text1"/>
          <w:lang w:val="en-CA"/>
        </w:rPr>
      </w:pPr>
      <w:r w:rsidRPr="00D120AC">
        <w:rPr>
          <w:color w:val="000000" w:themeColor="text1"/>
          <w:lang w:val="en-CA"/>
        </w:rPr>
        <w:t xml:space="preserve">Chronopotentiometry (CP) was </w:t>
      </w:r>
      <w:proofErr w:type="gramStart"/>
      <w:r w:rsidRPr="00D120AC">
        <w:rPr>
          <w:color w:val="000000" w:themeColor="text1"/>
          <w:lang w:val="en-CA"/>
        </w:rPr>
        <w:t>carried out</w:t>
      </w:r>
      <w:proofErr w:type="gramEnd"/>
      <w:r w:rsidRPr="00D120AC">
        <w:rPr>
          <w:color w:val="000000" w:themeColor="text1"/>
          <w:lang w:val="en-CA"/>
        </w:rPr>
        <w:t xml:space="preserve"> to observe the lithium stripping/plating response of the CSPEs. Instead of the stainless-steel blocking electrodes, the CSPE </w:t>
      </w:r>
      <w:proofErr w:type="gramStart"/>
      <w:r w:rsidRPr="00D120AC">
        <w:rPr>
          <w:color w:val="000000" w:themeColor="text1"/>
          <w:lang w:val="en-CA"/>
        </w:rPr>
        <w:t>was sandwiched</w:t>
      </w:r>
      <w:proofErr w:type="gramEnd"/>
      <w:r w:rsidRPr="00D120AC">
        <w:rPr>
          <w:color w:val="000000" w:themeColor="text1"/>
          <w:lang w:val="en-CA"/>
        </w:rPr>
        <w:t xml:space="preserve"> between lithium electrodes in a symmetric cell configuration under argon environment in a glovebox. Depending on the sample cycling response, different current densities from 0.025-0.5 mA cm</w:t>
      </w:r>
      <w:r w:rsidRPr="00D120AC">
        <w:rPr>
          <w:color w:val="000000" w:themeColor="text1"/>
          <w:vertAlign w:val="superscript"/>
          <w:lang w:val="en-CA"/>
        </w:rPr>
        <w:t>-2</w:t>
      </w:r>
      <w:r w:rsidRPr="00D120AC">
        <w:rPr>
          <w:color w:val="000000" w:themeColor="text1"/>
          <w:lang w:val="en-CA"/>
        </w:rPr>
        <w:t xml:space="preserve"> and temperatures of 65 and 85ºC </w:t>
      </w:r>
      <w:proofErr w:type="gramStart"/>
      <w:r w:rsidRPr="00D120AC">
        <w:rPr>
          <w:color w:val="000000" w:themeColor="text1"/>
          <w:lang w:val="en-CA"/>
        </w:rPr>
        <w:t>were used</w:t>
      </w:r>
      <w:proofErr w:type="gramEnd"/>
      <w:r w:rsidRPr="00D120AC">
        <w:rPr>
          <w:color w:val="000000" w:themeColor="text1"/>
          <w:lang w:val="en-CA"/>
        </w:rPr>
        <w:t xml:space="preserve">. For samples successfully passing </w:t>
      </w:r>
      <w:proofErr w:type="gramStart"/>
      <w:r w:rsidRPr="00D120AC">
        <w:rPr>
          <w:color w:val="000000" w:themeColor="text1"/>
          <w:lang w:val="en-CA"/>
        </w:rPr>
        <w:t>50 and 100 hours</w:t>
      </w:r>
      <w:proofErr w:type="gramEnd"/>
      <w:r w:rsidRPr="00D120AC">
        <w:rPr>
          <w:color w:val="000000" w:themeColor="text1"/>
          <w:lang w:val="en-CA"/>
        </w:rPr>
        <w:t xml:space="preserve"> tests at the given current density and temperature, both current and temperature were increased for further testing.</w:t>
      </w:r>
    </w:p>
    <w:p w14:paraId="4919A776" w14:textId="77777777" w:rsidR="006C06F0" w:rsidRPr="00D120AC" w:rsidRDefault="006C06F0" w:rsidP="006C06F0">
      <w:pPr>
        <w:pStyle w:val="berschrift2"/>
      </w:pPr>
      <w:r w:rsidRPr="00D120AC">
        <w:t>Crystallization behaviour</w:t>
      </w:r>
    </w:p>
    <w:p w14:paraId="783A2B16" w14:textId="77777777" w:rsidR="006C06F0" w:rsidRPr="00D120AC" w:rsidRDefault="006C06F0" w:rsidP="006C06F0">
      <w:pPr>
        <w:autoSpaceDE w:val="0"/>
        <w:autoSpaceDN w:val="0"/>
        <w:adjustRightInd w:val="0"/>
        <w:spacing w:line="480" w:lineRule="auto"/>
        <w:ind w:firstLine="720"/>
        <w:contextualSpacing/>
        <w:rPr>
          <w:lang w:val="en-CA"/>
        </w:rPr>
      </w:pPr>
      <w:r w:rsidRPr="00D120AC">
        <w:rPr>
          <w:color w:val="000000" w:themeColor="text1"/>
          <w:lang w:val="en-CA"/>
        </w:rPr>
        <w:t>The degree of crystallinity and melting temperatures were obtained via differential scanning calorimetry (DSC) measurements on a DSC 3 Star system (Mettler Toledo) in a temperature range from 0</w:t>
      </w:r>
      <w:r w:rsidRPr="00D120AC">
        <w:rPr>
          <w:lang w:val="en-CA"/>
        </w:rPr>
        <w:t>-100 ºC</w:t>
      </w:r>
      <w:r w:rsidRPr="00D120AC">
        <w:rPr>
          <w:color w:val="000000" w:themeColor="text1"/>
          <w:lang w:val="en-CA"/>
        </w:rPr>
        <w:t xml:space="preserve"> with cooling and heating rates of 2 </w:t>
      </w:r>
      <w:r w:rsidRPr="00D120AC">
        <w:rPr>
          <w:lang w:val="en-CA"/>
        </w:rPr>
        <w:t xml:space="preserve">ºC </w:t>
      </w:r>
      <w:proofErr w:type="gramStart"/>
      <w:r w:rsidRPr="00D120AC">
        <w:rPr>
          <w:lang w:val="en-CA"/>
        </w:rPr>
        <w:t>min</w:t>
      </w:r>
      <w:r w:rsidRPr="00D120AC">
        <w:rPr>
          <w:vertAlign w:val="superscript"/>
          <w:lang w:val="en-CA"/>
        </w:rPr>
        <w:t>-1</w:t>
      </w:r>
      <w:proofErr w:type="gramEnd"/>
      <w:r w:rsidRPr="00D120AC">
        <w:rPr>
          <w:lang w:val="en-CA"/>
        </w:rPr>
        <w:t xml:space="preserve">. Degree of crystallinity </w:t>
      </w:r>
      <w:proofErr w:type="gramStart"/>
      <w:r w:rsidRPr="00D120AC">
        <w:rPr>
          <w:lang w:val="en-CA"/>
        </w:rPr>
        <w:t>was normalized</w:t>
      </w:r>
      <w:proofErr w:type="gramEnd"/>
      <w:r w:rsidRPr="00D120AC">
        <w:rPr>
          <w:lang w:val="en-CA"/>
        </w:rPr>
        <w:t xml:space="preserve"> to PEO content in each sample.</w:t>
      </w:r>
    </w:p>
    <w:p w14:paraId="6A93E74C" w14:textId="77777777" w:rsidR="006C06F0" w:rsidRPr="00D120AC" w:rsidRDefault="006C06F0" w:rsidP="006C06F0">
      <w:pPr>
        <w:pStyle w:val="berschrift2"/>
      </w:pPr>
      <w:r w:rsidRPr="00D120AC">
        <w:t>Flexibility and Tensile testing</w:t>
      </w:r>
    </w:p>
    <w:p w14:paraId="471D35A3" w14:textId="3A619390" w:rsidR="006C06F0" w:rsidRPr="00D120AC" w:rsidRDefault="006C06F0" w:rsidP="006C06F0">
      <w:pPr>
        <w:spacing w:line="480" w:lineRule="auto"/>
        <w:ind w:firstLine="720"/>
        <w:contextualSpacing/>
        <w:rPr>
          <w:lang w:val="en-CA"/>
        </w:rPr>
      </w:pPr>
      <w:r w:rsidRPr="00D120AC">
        <w:rPr>
          <w:lang w:val="en-CA"/>
        </w:rPr>
        <w:t>To ensure film flexibility, a qualitative bending test was conducted on each sample.</w:t>
      </w:r>
      <w:r w:rsidRPr="00D120AC">
        <w:rPr>
          <w:vertAlign w:val="superscript"/>
          <w:lang w:val="en-CA"/>
        </w:rPr>
        <w:t>40</w:t>
      </w:r>
      <w:r w:rsidRPr="00D120AC">
        <w:rPr>
          <w:lang w:val="en-CA"/>
        </w:rPr>
        <w:t xml:space="preserve"> Samples were folded at 180 </w:t>
      </w:r>
      <w:r w:rsidRPr="00D120AC">
        <w:rPr>
          <w:vertAlign w:val="superscript"/>
          <w:lang w:val="en-CA"/>
        </w:rPr>
        <w:t>º</w:t>
      </w:r>
      <w:r w:rsidRPr="00D120AC">
        <w:rPr>
          <w:lang w:val="en-CA"/>
        </w:rPr>
        <w:t xml:space="preserve">C at room temperature and after being heated up to </w:t>
      </w:r>
      <w:proofErr w:type="gramStart"/>
      <w:r w:rsidRPr="00D120AC">
        <w:rPr>
          <w:lang w:val="en-CA"/>
        </w:rPr>
        <w:t>100</w:t>
      </w:r>
      <w:proofErr w:type="gramEnd"/>
      <w:r w:rsidRPr="00D120AC">
        <w:rPr>
          <w:lang w:val="en-CA"/>
        </w:rPr>
        <w:t xml:space="preserve"> ºC. They </w:t>
      </w:r>
      <w:proofErr w:type="gramStart"/>
      <w:r w:rsidRPr="00D120AC">
        <w:rPr>
          <w:lang w:val="en-CA"/>
        </w:rPr>
        <w:t>were held</w:t>
      </w:r>
      <w:proofErr w:type="gramEnd"/>
      <w:r w:rsidRPr="00D120AC">
        <w:rPr>
          <w:lang w:val="en-CA"/>
        </w:rPr>
        <w:t xml:space="preserve"> folded for 1 minute and then released (Figure S</w:t>
      </w:r>
      <w:r w:rsidR="00B2571A">
        <w:rPr>
          <w:lang w:val="en-CA"/>
        </w:rPr>
        <w:t>1</w:t>
      </w:r>
      <w:r w:rsidRPr="00D120AC">
        <w:rPr>
          <w:lang w:val="en-CA"/>
        </w:rPr>
        <w:t xml:space="preserve">, Supporting Information). The </w:t>
      </w:r>
      <w:r w:rsidRPr="00D120AC">
        <w:rPr>
          <w:lang w:val="en-CA"/>
        </w:rPr>
        <w:lastRenderedPageBreak/>
        <w:t xml:space="preserve">flexibility of the films </w:t>
      </w:r>
      <w:proofErr w:type="gramStart"/>
      <w:r w:rsidRPr="00D120AC">
        <w:rPr>
          <w:lang w:val="en-CA"/>
        </w:rPr>
        <w:t>was characterized</w:t>
      </w:r>
      <w:proofErr w:type="gramEnd"/>
      <w:r w:rsidRPr="00D120AC">
        <w:rPr>
          <w:lang w:val="en-CA"/>
        </w:rPr>
        <w:t xml:space="preserve"> based on whether they showed any visible signs of cracking in the folding area or not. Samples without significant cracks that restored their initial shape after bending </w:t>
      </w:r>
      <w:proofErr w:type="gramStart"/>
      <w:r w:rsidRPr="00D120AC">
        <w:rPr>
          <w:lang w:val="en-CA"/>
        </w:rPr>
        <w:t>were considered</w:t>
      </w:r>
      <w:proofErr w:type="gramEnd"/>
      <w:r w:rsidRPr="00D120AC">
        <w:rPr>
          <w:lang w:val="en-CA"/>
        </w:rPr>
        <w:t xml:space="preserve"> flexible.</w:t>
      </w:r>
    </w:p>
    <w:p w14:paraId="469F7EB0" w14:textId="77777777" w:rsidR="006C06F0" w:rsidRPr="00D120AC" w:rsidRDefault="006C06F0" w:rsidP="006C06F0">
      <w:pPr>
        <w:pStyle w:val="berschrift2"/>
      </w:pPr>
      <w:r w:rsidRPr="00D120AC">
        <w:t>Rheological measurements</w:t>
      </w:r>
    </w:p>
    <w:p w14:paraId="6FCC02EC" w14:textId="77777777" w:rsidR="006C06F0" w:rsidRPr="00D120AC" w:rsidRDefault="006C06F0" w:rsidP="006C06F0">
      <w:pPr>
        <w:spacing w:line="480" w:lineRule="auto"/>
        <w:ind w:firstLine="720"/>
        <w:rPr>
          <w:lang w:val="en-CA"/>
        </w:rPr>
      </w:pPr>
      <w:r w:rsidRPr="00D120AC">
        <w:rPr>
          <w:color w:val="000000"/>
          <w:lang w:val="en-CA"/>
        </w:rPr>
        <w:t xml:space="preserve">A stress-controlled rotational rheometer (Anton </w:t>
      </w:r>
      <w:proofErr w:type="spellStart"/>
      <w:r w:rsidRPr="00D120AC">
        <w:rPr>
          <w:color w:val="000000"/>
          <w:lang w:val="en-CA"/>
        </w:rPr>
        <w:t>Paar</w:t>
      </w:r>
      <w:proofErr w:type="spellEnd"/>
      <w:r w:rsidRPr="00D120AC">
        <w:rPr>
          <w:color w:val="000000"/>
          <w:lang w:val="en-CA"/>
        </w:rPr>
        <w:t xml:space="preserve"> MCR-302) with a cone and plate geometry (25 mm in diameter and gap size of 1 mm) </w:t>
      </w:r>
      <w:proofErr w:type="gramStart"/>
      <w:r w:rsidRPr="00D120AC">
        <w:rPr>
          <w:color w:val="000000"/>
          <w:lang w:val="en-CA"/>
        </w:rPr>
        <w:t>was utilized</w:t>
      </w:r>
      <w:proofErr w:type="gramEnd"/>
      <w:r w:rsidRPr="00D120AC">
        <w:rPr>
          <w:color w:val="000000"/>
          <w:lang w:val="en-CA"/>
        </w:rPr>
        <w:t xml:space="preserve"> to conduct the rheological measurements. The oscillatory amplitude sweep experiments </w:t>
      </w:r>
      <w:proofErr w:type="gramStart"/>
      <w:r w:rsidRPr="00D120AC">
        <w:rPr>
          <w:color w:val="000000"/>
          <w:lang w:val="en-CA"/>
        </w:rPr>
        <w:t>were performed</w:t>
      </w:r>
      <w:proofErr w:type="gramEnd"/>
      <w:r w:rsidRPr="00D120AC">
        <w:rPr>
          <w:color w:val="000000"/>
          <w:lang w:val="en-CA"/>
        </w:rPr>
        <w:t xml:space="preserve"> on PEO solutions and t-CNF dispersions in water and PEO water solutions at a frequency of 0.1 Hz in a strain.</w:t>
      </w:r>
    </w:p>
    <w:p w14:paraId="0099018A" w14:textId="77777777" w:rsidR="006C06F0" w:rsidRPr="00D120AC" w:rsidRDefault="006C06F0" w:rsidP="006C06F0">
      <w:pPr>
        <w:pStyle w:val="berschrift2"/>
      </w:pPr>
      <w:r w:rsidRPr="00D120AC">
        <w:t>Solid-state Nuclear Magnetic Resonance Spectroscopy</w:t>
      </w:r>
    </w:p>
    <w:p w14:paraId="08DCAA88" w14:textId="77777777" w:rsidR="006C06F0" w:rsidRPr="00D120AC" w:rsidRDefault="006C06F0" w:rsidP="006C06F0">
      <w:pPr>
        <w:spacing w:line="480" w:lineRule="auto"/>
        <w:ind w:firstLine="720"/>
        <w:rPr>
          <w:rFonts w:cstheme="majorBidi"/>
          <w:bCs/>
          <w:color w:val="000000" w:themeColor="text1"/>
          <w:lang w:val="en-CA"/>
        </w:rPr>
      </w:pPr>
      <w:r w:rsidRPr="00D120AC">
        <w:rPr>
          <w:rFonts w:cstheme="majorBidi"/>
          <w:bCs/>
          <w:color w:val="000000" w:themeColor="text1"/>
          <w:lang w:val="en-CA"/>
        </w:rPr>
        <w:t xml:space="preserve">Solid-state </w:t>
      </w:r>
      <w:r w:rsidRPr="00D120AC">
        <w:rPr>
          <w:rFonts w:cstheme="majorBidi"/>
          <w:bCs/>
          <w:color w:val="000000" w:themeColor="text1"/>
          <w:vertAlign w:val="superscript"/>
          <w:lang w:val="en-CA"/>
        </w:rPr>
        <w:t>7</w:t>
      </w:r>
      <w:r w:rsidRPr="00D120AC">
        <w:rPr>
          <w:rFonts w:cstheme="majorBidi"/>
          <w:bCs/>
          <w:color w:val="000000" w:themeColor="text1"/>
          <w:lang w:val="en-CA"/>
        </w:rPr>
        <w:t xml:space="preserve">Li NMR data </w:t>
      </w:r>
      <w:proofErr w:type="gramStart"/>
      <w:r w:rsidRPr="00D120AC">
        <w:rPr>
          <w:rFonts w:cstheme="majorBidi"/>
          <w:bCs/>
          <w:color w:val="000000" w:themeColor="text1"/>
          <w:lang w:val="en-CA"/>
        </w:rPr>
        <w:t>were acquired</w:t>
      </w:r>
      <w:proofErr w:type="gramEnd"/>
      <w:r w:rsidRPr="00D120AC">
        <w:rPr>
          <w:rFonts w:cstheme="majorBidi"/>
          <w:bCs/>
          <w:color w:val="000000" w:themeColor="text1"/>
          <w:lang w:val="en-CA"/>
        </w:rPr>
        <w:t xml:space="preserve"> using an </w:t>
      </w:r>
      <w:proofErr w:type="spellStart"/>
      <w:r w:rsidRPr="00D120AC">
        <w:rPr>
          <w:rFonts w:cstheme="majorBidi"/>
          <w:bCs/>
          <w:color w:val="000000" w:themeColor="text1"/>
          <w:lang w:val="en-CA"/>
        </w:rPr>
        <w:t>Avance</w:t>
      </w:r>
      <w:proofErr w:type="spellEnd"/>
      <w:r w:rsidRPr="00D120AC">
        <w:rPr>
          <w:rFonts w:cstheme="majorBidi"/>
          <w:bCs/>
          <w:color w:val="000000" w:themeColor="text1"/>
          <w:lang w:val="en-CA"/>
        </w:rPr>
        <w:t xml:space="preserve"> III HD 400 NMR spectrometer. Solid-state NMR spectra </w:t>
      </w:r>
      <w:proofErr w:type="gramStart"/>
      <w:r w:rsidRPr="00D120AC">
        <w:rPr>
          <w:rFonts w:cstheme="majorBidi"/>
          <w:bCs/>
          <w:color w:val="000000" w:themeColor="text1"/>
          <w:lang w:val="en-CA"/>
        </w:rPr>
        <w:t>were acquired</w:t>
      </w:r>
      <w:proofErr w:type="gramEnd"/>
      <w:r w:rsidRPr="00D120AC">
        <w:rPr>
          <w:rFonts w:cstheme="majorBidi"/>
          <w:bCs/>
          <w:color w:val="000000" w:themeColor="text1"/>
          <w:lang w:val="en-CA"/>
        </w:rPr>
        <w:t xml:space="preserve"> using a 4 mm double resonance (H/X) Bruker probe tuned to </w:t>
      </w:r>
      <w:r w:rsidRPr="00D120AC">
        <w:rPr>
          <w:rFonts w:cstheme="majorBidi"/>
          <w:bCs/>
          <w:color w:val="000000" w:themeColor="text1"/>
          <w:vertAlign w:val="superscript"/>
          <w:lang w:val="en-CA"/>
        </w:rPr>
        <w:t>7</w:t>
      </w:r>
      <w:r w:rsidRPr="00D120AC">
        <w:rPr>
          <w:rFonts w:cstheme="majorBidi"/>
          <w:bCs/>
          <w:color w:val="000000" w:themeColor="text1"/>
          <w:lang w:val="en-CA"/>
        </w:rPr>
        <w:t>Li (</w:t>
      </w:r>
      <w:proofErr w:type="spellStart"/>
      <w:r w:rsidRPr="00D120AC">
        <w:rPr>
          <w:rFonts w:cstheme="majorBidi"/>
          <w:bCs/>
          <w:i/>
          <w:iCs/>
          <w:color w:val="000000" w:themeColor="text1"/>
          <w:lang w:val="en-CA"/>
        </w:rPr>
        <w:t>ν</w:t>
      </w:r>
      <w:r w:rsidRPr="00D120AC">
        <w:rPr>
          <w:rFonts w:cstheme="majorBidi"/>
          <w:bCs/>
          <w:color w:val="000000" w:themeColor="text1"/>
          <w:vertAlign w:val="subscript"/>
          <w:lang w:val="en-CA"/>
        </w:rPr>
        <w:t>L</w:t>
      </w:r>
      <w:proofErr w:type="spellEnd"/>
      <w:r w:rsidRPr="00D120AC">
        <w:rPr>
          <w:rFonts w:cstheme="majorBidi"/>
          <w:bCs/>
          <w:color w:val="000000" w:themeColor="text1"/>
          <w:lang w:val="en-CA"/>
        </w:rPr>
        <w:t xml:space="preserve"> = 155.6 MHz). Samples </w:t>
      </w:r>
      <w:proofErr w:type="gramStart"/>
      <w:r w:rsidRPr="00D120AC">
        <w:rPr>
          <w:rFonts w:cstheme="majorBidi"/>
          <w:bCs/>
          <w:color w:val="000000" w:themeColor="text1"/>
          <w:lang w:val="en-CA"/>
        </w:rPr>
        <w:t>were packed</w:t>
      </w:r>
      <w:proofErr w:type="gramEnd"/>
      <w:r w:rsidRPr="00D120AC">
        <w:rPr>
          <w:rFonts w:cstheme="majorBidi"/>
          <w:bCs/>
          <w:color w:val="000000" w:themeColor="text1"/>
          <w:lang w:val="en-CA"/>
        </w:rPr>
        <w:t xml:space="preserve"> into 4 mm (outer diameter) zirconia rotors and sealed using a </w:t>
      </w:r>
      <w:proofErr w:type="spellStart"/>
      <w:r w:rsidRPr="00D120AC">
        <w:rPr>
          <w:rFonts w:cstheme="majorBidi"/>
          <w:bCs/>
          <w:color w:val="000000" w:themeColor="text1"/>
          <w:lang w:val="en-CA"/>
        </w:rPr>
        <w:t>Kel</w:t>
      </w:r>
      <w:proofErr w:type="spellEnd"/>
      <w:r w:rsidRPr="00D120AC">
        <w:rPr>
          <w:rFonts w:cstheme="majorBidi"/>
          <w:bCs/>
          <w:color w:val="000000" w:themeColor="text1"/>
          <w:lang w:val="en-CA"/>
        </w:rPr>
        <w:t>-F</w:t>
      </w:r>
      <w:r w:rsidRPr="00D120AC">
        <w:rPr>
          <w:rFonts w:cstheme="majorBidi"/>
          <w:bCs/>
          <w:color w:val="000000" w:themeColor="text1"/>
          <w:vertAlign w:val="superscript"/>
          <w:lang w:val="en-CA"/>
        </w:rPr>
        <w:t>®</w:t>
      </w:r>
      <w:r w:rsidRPr="00D120AC">
        <w:rPr>
          <w:rFonts w:cstheme="majorBidi"/>
          <w:bCs/>
          <w:color w:val="000000" w:themeColor="text1"/>
          <w:lang w:val="en-CA"/>
        </w:rPr>
        <w:t xml:space="preserve"> drive cap. Solid-state NMR spectra were acquired using a Bloch pulse (</w:t>
      </w:r>
      <w:proofErr w:type="spellStart"/>
      <w:r w:rsidRPr="00D120AC">
        <w:rPr>
          <w:rFonts w:cstheme="majorBidi"/>
          <w:bCs/>
          <w:i/>
          <w:iCs/>
          <w:color w:val="000000" w:themeColor="text1"/>
          <w:lang w:val="en-CA"/>
        </w:rPr>
        <w:t>ν</w:t>
      </w:r>
      <w:r w:rsidRPr="00D120AC">
        <w:rPr>
          <w:rFonts w:cstheme="majorBidi"/>
          <w:bCs/>
          <w:color w:val="000000" w:themeColor="text1"/>
          <w:vertAlign w:val="subscript"/>
          <w:lang w:val="en-CA"/>
        </w:rPr>
        <w:t>rf</w:t>
      </w:r>
      <w:proofErr w:type="spellEnd"/>
      <w:r w:rsidRPr="00D120AC">
        <w:rPr>
          <w:rFonts w:cstheme="majorBidi"/>
          <w:bCs/>
          <w:color w:val="000000" w:themeColor="text1"/>
          <w:lang w:val="en-CA"/>
        </w:rPr>
        <w:t xml:space="preserve"> = 62.5 kHz), with 10 s recycle delays. 32 to 1200 transients </w:t>
      </w:r>
      <w:proofErr w:type="gramStart"/>
      <w:r w:rsidRPr="00D120AC">
        <w:rPr>
          <w:rFonts w:cstheme="majorBidi"/>
          <w:bCs/>
          <w:color w:val="000000" w:themeColor="text1"/>
          <w:lang w:val="en-CA"/>
        </w:rPr>
        <w:t>were co-added</w:t>
      </w:r>
      <w:proofErr w:type="gramEnd"/>
      <w:r w:rsidRPr="00D120AC">
        <w:rPr>
          <w:rFonts w:cstheme="majorBidi"/>
          <w:bCs/>
          <w:color w:val="000000" w:themeColor="text1"/>
          <w:lang w:val="en-CA"/>
        </w:rPr>
        <w:t xml:space="preserve"> for these spectra, with more scans for the cycled sample due to limited sample. NMR spectra were acquired under both non-spinning conditions </w:t>
      </w:r>
      <w:proofErr w:type="gramStart"/>
      <w:r w:rsidRPr="00D120AC">
        <w:rPr>
          <w:rFonts w:cstheme="majorBidi"/>
          <w:bCs/>
          <w:color w:val="000000" w:themeColor="text1"/>
          <w:lang w:val="en-CA"/>
        </w:rPr>
        <w:t>or</w:t>
      </w:r>
      <w:proofErr w:type="gramEnd"/>
      <w:r w:rsidRPr="00D120AC">
        <w:rPr>
          <w:rFonts w:cstheme="majorBidi"/>
          <w:bCs/>
          <w:color w:val="000000" w:themeColor="text1"/>
          <w:lang w:val="en-CA"/>
        </w:rPr>
        <w:t xml:space="preserve"> with magic-angle spinning (MAS) at a spinning frequency of 5 kHz. All </w:t>
      </w:r>
      <w:r w:rsidRPr="00D120AC">
        <w:rPr>
          <w:rFonts w:cstheme="majorBidi"/>
          <w:bCs/>
          <w:color w:val="000000" w:themeColor="text1"/>
          <w:vertAlign w:val="superscript"/>
          <w:lang w:val="en-CA"/>
        </w:rPr>
        <w:t>7</w:t>
      </w:r>
      <w:r w:rsidRPr="00D120AC">
        <w:rPr>
          <w:rFonts w:cstheme="majorBidi"/>
          <w:bCs/>
          <w:color w:val="000000" w:themeColor="text1"/>
          <w:lang w:val="en-CA"/>
        </w:rPr>
        <w:t xml:space="preserve">Li NMR spectra </w:t>
      </w:r>
      <w:proofErr w:type="gramStart"/>
      <w:r w:rsidRPr="00D120AC">
        <w:rPr>
          <w:rFonts w:cstheme="majorBidi"/>
          <w:bCs/>
          <w:color w:val="000000" w:themeColor="text1"/>
          <w:lang w:val="en-CA"/>
        </w:rPr>
        <w:t>were referenced</w:t>
      </w:r>
      <w:proofErr w:type="gramEnd"/>
      <w:r w:rsidRPr="00D120AC">
        <w:rPr>
          <w:rFonts w:cstheme="majorBidi"/>
          <w:bCs/>
          <w:color w:val="000000" w:themeColor="text1"/>
          <w:lang w:val="en-CA"/>
        </w:rPr>
        <w:t xml:space="preserve"> using 1 M LiCl solution (0.0 ppm) and acquired at room temperature.</w:t>
      </w:r>
    </w:p>
    <w:p w14:paraId="1486DB02" w14:textId="77777777" w:rsidR="006C06F0" w:rsidRPr="00D120AC" w:rsidRDefault="006C06F0" w:rsidP="006C06F0">
      <w:pPr>
        <w:pStyle w:val="berschrift2"/>
      </w:pPr>
      <w:r w:rsidRPr="00D120AC">
        <w:t>Electrochemical Strain Microscopy</w:t>
      </w:r>
    </w:p>
    <w:p w14:paraId="162B6A7C" w14:textId="419DB3E0" w:rsidR="006C06F0" w:rsidRPr="006C06F0" w:rsidRDefault="006C06F0" w:rsidP="006C06F0">
      <w:pPr>
        <w:spacing w:line="480" w:lineRule="auto"/>
        <w:ind w:firstLine="709"/>
        <w:rPr>
          <w:rFonts w:cstheme="majorBidi"/>
          <w:bCs/>
          <w:color w:val="000000" w:themeColor="text1"/>
          <w:lang w:val="en-CA"/>
        </w:rPr>
      </w:pPr>
      <w:r w:rsidRPr="00D120AC">
        <w:rPr>
          <w:rFonts w:cstheme="majorBidi"/>
          <w:bCs/>
          <w:color w:val="000000" w:themeColor="text1"/>
          <w:lang w:val="en-CA"/>
        </w:rPr>
        <w:t xml:space="preserve">Bruker Dimension Icon (Bruker, Santa Barbara, CA, USA) atomic force microscope (AFM) operating in argon filled glovebox </w:t>
      </w:r>
      <w:proofErr w:type="gramStart"/>
      <w:r w:rsidRPr="00D120AC">
        <w:rPr>
          <w:rFonts w:cstheme="majorBidi"/>
          <w:bCs/>
          <w:color w:val="000000" w:themeColor="text1"/>
          <w:lang w:val="en-CA"/>
        </w:rPr>
        <w:t>was utilized</w:t>
      </w:r>
      <w:proofErr w:type="gramEnd"/>
      <w:r w:rsidRPr="00D120AC">
        <w:rPr>
          <w:rFonts w:cstheme="majorBidi"/>
          <w:bCs/>
          <w:color w:val="000000" w:themeColor="text1"/>
          <w:lang w:val="en-CA"/>
        </w:rPr>
        <w:t xml:space="preserve"> for </w:t>
      </w:r>
      <w:r>
        <w:rPr>
          <w:rFonts w:cstheme="majorBidi"/>
          <w:bCs/>
          <w:color w:val="000000" w:themeColor="text1"/>
          <w:lang w:val="en-CA"/>
        </w:rPr>
        <w:t xml:space="preserve">AFM images acquisition and </w:t>
      </w:r>
      <w:r w:rsidRPr="00D120AC">
        <w:rPr>
          <w:rFonts w:cstheme="majorBidi"/>
          <w:bCs/>
          <w:color w:val="000000" w:themeColor="text1"/>
          <w:lang w:val="en-CA"/>
        </w:rPr>
        <w:t xml:space="preserve">Electrochemical Strain Microscopy </w:t>
      </w:r>
      <w:r w:rsidRPr="006C474C">
        <w:rPr>
          <w:rFonts w:cstheme="majorBidi"/>
          <w:bCs/>
          <w:color w:val="000000" w:themeColor="text1"/>
          <w:lang w:val="en-CA"/>
        </w:rPr>
        <w:t xml:space="preserve">(ESM) measurements. </w:t>
      </w:r>
      <w:r w:rsidR="00E81DAE" w:rsidRPr="006C474C">
        <w:rPr>
          <w:rFonts w:cstheme="minorHAnsi"/>
          <w:color w:val="000000" w:themeColor="text1"/>
          <w:lang w:eastAsia="en-CA"/>
        </w:rPr>
        <w:t xml:space="preserve">The AFM tip radius of curvature is less than 20 nm. Based on tip size, lateral resolution is about 25-30 nm. </w:t>
      </w:r>
      <w:r w:rsidR="00595ECF" w:rsidRPr="006C474C">
        <w:rPr>
          <w:rFonts w:cstheme="minorHAnsi"/>
          <w:color w:val="000000" w:themeColor="text1"/>
          <w:lang w:eastAsia="en-CA"/>
        </w:rPr>
        <w:t>To ensure a stable tip–</w:t>
      </w:r>
      <w:r w:rsidR="00595ECF" w:rsidRPr="006C474C">
        <w:rPr>
          <w:rFonts w:cstheme="minorHAnsi"/>
          <w:color w:val="000000" w:themeColor="text1"/>
          <w:lang w:eastAsia="en-CA"/>
        </w:rPr>
        <w:lastRenderedPageBreak/>
        <w:t>sample interaction, a slow scanning speed of about 0.2 Hz was applied.</w:t>
      </w:r>
      <w:r w:rsidR="00595ECF" w:rsidRPr="006C474C">
        <w:rPr>
          <w:rFonts w:cstheme="majorBidi"/>
          <w:bCs/>
          <w:color w:val="000000" w:themeColor="text1"/>
          <w:lang w:val="en-CA"/>
        </w:rPr>
        <w:t xml:space="preserve"> </w:t>
      </w:r>
      <w:r w:rsidRPr="006C474C">
        <w:rPr>
          <w:rFonts w:cstheme="majorBidi"/>
          <w:bCs/>
          <w:color w:val="000000" w:themeColor="text1"/>
          <w:lang w:val="en-CA"/>
        </w:rPr>
        <w:t>ESM is a special mode</w:t>
      </w:r>
      <w:r>
        <w:rPr>
          <w:rFonts w:cstheme="majorBidi"/>
          <w:bCs/>
          <w:color w:val="000000" w:themeColor="text1"/>
          <w:lang w:val="en-CA"/>
        </w:rPr>
        <w:t xml:space="preserve"> of contact AFM</w:t>
      </w:r>
      <w:r w:rsidRPr="00D120AC">
        <w:rPr>
          <w:rFonts w:cstheme="majorBidi"/>
          <w:bCs/>
          <w:color w:val="000000" w:themeColor="text1"/>
          <w:lang w:val="en-CA"/>
        </w:rPr>
        <w:t xml:space="preserve"> </w:t>
      </w:r>
      <w:r>
        <w:rPr>
          <w:rFonts w:cstheme="majorBidi"/>
          <w:bCs/>
          <w:color w:val="000000" w:themeColor="text1"/>
          <w:lang w:val="en-CA"/>
        </w:rPr>
        <w:t xml:space="preserve">which allows to probe local variations of ions mobility at nanoscale and compare it for </w:t>
      </w:r>
      <w:proofErr w:type="gramStart"/>
      <w:r>
        <w:rPr>
          <w:rFonts w:cstheme="majorBidi"/>
          <w:bCs/>
          <w:color w:val="000000" w:themeColor="text1"/>
          <w:lang w:val="en-CA"/>
        </w:rPr>
        <w:t>different materials</w:t>
      </w:r>
      <w:proofErr w:type="gramEnd"/>
      <w:r>
        <w:rPr>
          <w:rFonts w:cstheme="majorBidi"/>
          <w:bCs/>
          <w:color w:val="000000" w:themeColor="text1"/>
          <w:lang w:val="en-CA"/>
        </w:rPr>
        <w:t>.</w:t>
      </w:r>
      <w:r>
        <w:rPr>
          <w:rFonts w:cstheme="majorBidi"/>
          <w:bCs/>
          <w:color w:val="000000" w:themeColor="text1"/>
          <w:vertAlign w:val="superscript"/>
          <w:lang w:val="en-CA"/>
        </w:rPr>
        <w:t>5</w:t>
      </w:r>
      <w:r w:rsidR="00B15BDB">
        <w:rPr>
          <w:rFonts w:cstheme="majorBidi"/>
          <w:bCs/>
          <w:color w:val="000000" w:themeColor="text1"/>
          <w:vertAlign w:val="superscript"/>
          <w:lang w:val="en-CA"/>
        </w:rPr>
        <w:t>0</w:t>
      </w:r>
      <w:r>
        <w:rPr>
          <w:rFonts w:cstheme="majorBidi"/>
          <w:bCs/>
          <w:color w:val="000000" w:themeColor="text1"/>
          <w:lang w:val="en-CA"/>
        </w:rPr>
        <w:t xml:space="preserve"> During ESM, alternating current (AC) is applied on a cantilever tip and always matched the contact resonance frequency of the cantilever. T</w:t>
      </w:r>
      <w:r w:rsidRPr="00D120AC">
        <w:rPr>
          <w:rFonts w:cstheme="majorBidi"/>
          <w:bCs/>
          <w:color w:val="000000" w:themeColor="text1"/>
          <w:lang w:val="en-CA"/>
        </w:rPr>
        <w:t xml:space="preserve">he contact resonance frequency </w:t>
      </w:r>
      <w:r>
        <w:rPr>
          <w:rFonts w:cstheme="majorBidi"/>
          <w:bCs/>
          <w:color w:val="000000" w:themeColor="text1"/>
          <w:lang w:val="en-CA"/>
        </w:rPr>
        <w:t xml:space="preserve">(CRF) </w:t>
      </w:r>
      <w:r w:rsidRPr="00D120AC">
        <w:rPr>
          <w:rFonts w:cstheme="majorBidi"/>
          <w:bCs/>
          <w:color w:val="000000" w:themeColor="text1"/>
          <w:lang w:val="en-CA"/>
        </w:rPr>
        <w:t xml:space="preserve">and amplitude </w:t>
      </w:r>
      <w:proofErr w:type="gramStart"/>
      <w:r>
        <w:rPr>
          <w:rFonts w:cstheme="majorBidi"/>
          <w:bCs/>
          <w:color w:val="000000" w:themeColor="text1"/>
          <w:lang w:val="en-CA"/>
        </w:rPr>
        <w:t>were tracked</w:t>
      </w:r>
      <w:proofErr w:type="gramEnd"/>
      <w:r>
        <w:rPr>
          <w:rFonts w:cstheme="majorBidi"/>
          <w:bCs/>
          <w:color w:val="000000" w:themeColor="text1"/>
          <w:lang w:val="en-CA"/>
        </w:rPr>
        <w:t xml:space="preserve"> and recorded </w:t>
      </w:r>
      <w:r w:rsidRPr="00D120AC">
        <w:rPr>
          <w:rFonts w:cstheme="majorBidi"/>
          <w:bCs/>
          <w:color w:val="000000" w:themeColor="text1"/>
          <w:lang w:val="en-CA"/>
        </w:rPr>
        <w:t>with a phase-locked loop (HF2LI, Zurich Instruments, Zurich, Switzerland)</w:t>
      </w:r>
      <w:r>
        <w:rPr>
          <w:rFonts w:cstheme="majorBidi"/>
          <w:bCs/>
          <w:color w:val="000000" w:themeColor="text1"/>
          <w:lang w:val="en-CA"/>
        </w:rPr>
        <w:t>.</w:t>
      </w:r>
      <w:r w:rsidRPr="00426867">
        <w:rPr>
          <w:rFonts w:cstheme="majorBidi"/>
          <w:bCs/>
          <w:color w:val="000000" w:themeColor="text1"/>
          <w:vertAlign w:val="superscript"/>
          <w:lang w:val="en-CA"/>
        </w:rPr>
        <w:t>5</w:t>
      </w:r>
      <w:r w:rsidR="00B15BDB">
        <w:rPr>
          <w:rFonts w:cstheme="majorBidi"/>
          <w:bCs/>
          <w:color w:val="000000" w:themeColor="text1"/>
          <w:vertAlign w:val="superscript"/>
          <w:lang w:val="en-CA"/>
        </w:rPr>
        <w:t>1</w:t>
      </w:r>
      <w:r>
        <w:rPr>
          <w:rFonts w:cstheme="majorBidi"/>
          <w:bCs/>
          <w:color w:val="000000" w:themeColor="text1"/>
          <w:lang w:val="en-CA"/>
        </w:rPr>
        <w:t xml:space="preserve"> Higher ESM signal amplitude usually refers to the higher local mobility of ions in the material. All images depicting ESM amplitude signal and samples topography </w:t>
      </w:r>
      <w:proofErr w:type="gramStart"/>
      <w:r>
        <w:rPr>
          <w:rFonts w:cstheme="majorBidi"/>
          <w:bCs/>
          <w:color w:val="000000" w:themeColor="text1"/>
          <w:lang w:val="en-CA"/>
        </w:rPr>
        <w:t>were recorded</w:t>
      </w:r>
      <w:proofErr w:type="gramEnd"/>
      <w:r>
        <w:rPr>
          <w:rFonts w:cstheme="majorBidi"/>
          <w:bCs/>
          <w:color w:val="000000" w:themeColor="text1"/>
          <w:lang w:val="en-CA"/>
        </w:rPr>
        <w:t xml:space="preserve"> simultaneously. </w:t>
      </w:r>
      <w:r w:rsidRPr="00D120AC">
        <w:rPr>
          <w:rFonts w:cstheme="majorBidi"/>
          <w:bCs/>
          <w:color w:val="000000" w:themeColor="text1"/>
          <w:lang w:val="en-CA"/>
        </w:rPr>
        <w:t xml:space="preserve">For measurements, a cantilever with a free resonance peak around 75 kHz and a conductive platinum iridium coating (PPP-EFM, nominal spring constant 2.8 N m-1, Nano World AG, Neuchatel, Switzerland) </w:t>
      </w:r>
      <w:proofErr w:type="gramStart"/>
      <w:r w:rsidRPr="00D120AC">
        <w:rPr>
          <w:rFonts w:cstheme="majorBidi"/>
          <w:bCs/>
          <w:color w:val="000000" w:themeColor="text1"/>
          <w:lang w:val="en-CA"/>
        </w:rPr>
        <w:t>was utilized</w:t>
      </w:r>
      <w:proofErr w:type="gramEnd"/>
      <w:r w:rsidRPr="00D120AC">
        <w:rPr>
          <w:rFonts w:cstheme="majorBidi"/>
          <w:bCs/>
          <w:color w:val="000000" w:themeColor="text1"/>
          <w:lang w:val="en-CA"/>
        </w:rPr>
        <w:t>.</w:t>
      </w:r>
    </w:p>
    <w:p w14:paraId="148CDB68" w14:textId="77777777" w:rsidR="00872A4B" w:rsidRPr="00D120AC" w:rsidRDefault="00872A4B" w:rsidP="00872A4B">
      <w:pPr>
        <w:pStyle w:val="berschrift1"/>
      </w:pPr>
      <w:r w:rsidRPr="00D120AC">
        <w:t>Results and discussion</w:t>
      </w:r>
    </w:p>
    <w:p w14:paraId="7AC9DA0D" w14:textId="7D37B58B" w:rsidR="00872A4B" w:rsidRPr="00D120AC" w:rsidRDefault="00872A4B" w:rsidP="00872A4B">
      <w:pPr>
        <w:spacing w:before="240" w:line="480" w:lineRule="auto"/>
        <w:ind w:firstLine="720"/>
        <w:contextualSpacing/>
        <w:rPr>
          <w:color w:val="000000" w:themeColor="text1"/>
          <w:lang w:val="en-CA"/>
        </w:rPr>
      </w:pPr>
      <w:r w:rsidRPr="00D120AC">
        <w:rPr>
          <w:color w:val="000000" w:themeColor="text1"/>
          <w:lang w:val="en-CA"/>
        </w:rPr>
        <w:t>PEO crystallinity has been shown to have a significant impact on the ionic conductivity and hence the performance of CSPEs.</w:t>
      </w:r>
      <w:r w:rsidRPr="00D120AC">
        <w:rPr>
          <w:color w:val="000000" w:themeColor="text1"/>
          <w:vertAlign w:val="superscript"/>
          <w:lang w:val="en-CA"/>
        </w:rPr>
        <w:fldChar w:fldCharType="begin" w:fldLock="1"/>
      </w:r>
      <w:r w:rsidRPr="00D120AC">
        <w:rPr>
          <w:color w:val="000000" w:themeColor="text1"/>
          <w:vertAlign w:val="superscript"/>
          <w:lang w:val="en-CA"/>
        </w:rPr>
        <w:instrText>ADDIN CSL_CITATION {"citationItems":[{"id":"ITEM-1","itemData":{"DOI":"10.1016/j.jpowsour.2006.02.044","ISSN":"03787753","abstract":"Polymer electrolytes formed from high molecular weight poly(ethylene oxide) with dissolved LiN(CF3SO2)2 salt were obtained by casting from solution. The compositions ranging from 16:1 to 8:1 EO:Li molar ratio were studied by the X-ray diffraction and by impedance spectroscopy simultaneously with polarizing microscope observation. Crystallization processes and the resulting morphology of electrolytes were investigated in the temperature range from 85 to -20 °C in various cooling and heating cycles. For all compositions, coexistence of crystalline phases of pure PEO and PEO6:LiTFSI complex was found. The results indicate that phase segregation plays a key role in the crystallization process. The amorphous phase acts like a reservoir of salt, which can be injected or drained by crystallizing spherulites of a defined composition. This interaction between pure PEO and PEO6:LiTFSI complex explains why effective crystallization process leading to a large decrease of conductivity can take place even in compositions close to the eutectic system. In such a system the concentration of salt in remaining amorphous phase can be very different from the initial composition of electrolyte. The ionic conductivity strongly depends on morphology of the electrolyte, which indicates a possibility of achieving high conductivity in the presence of the crystalline phases. © 2006 Elsevier B.V. All rights reserved.","author":[{"dropping-particle":"","family":"Marzantowicz","given":"M.","non-dropping-particle":"","parse-names":false,"suffix":""},{"dropping-particle":"","family":"Dygas","given":"J. R.","non-dropping-particle":"","parse-names":false,"suffix":""},{"dropping-particle":"","family":"Krok","given":"F.","non-dropping-particle":"","parse-names":false,"suffix":""},{"dropping-particle":"","family":"Nowiński","given":"J. L.","non-dropping-particle":"","parse-names":false,"suffix":""},{"dropping-particle":"","family":"Tomaszewska","given":"A.","non-dropping-particle":"","parse-names":false,"suffix":""},{"dropping-particle":"","family":"Florjańczyk","given":"Z.","non-dropping-particle":"","parse-names":false,"suffix":""},{"dropping-particle":"","family":"Zygadło-Monikowska","given":"E.","non-dropping-particle":"","parse-names":false,"suffix":""}],"container-title":"Journal of Power Sources","id":"ITEM-1","issue":"1 SPEC. ISS.","issued":{"date-parts":[["2006"]]},"page":"420-430","title":"Crystalline phases, morphology and conductivity of PEO:LiTFSI electrolytes in the eutectic region","type":"article-journal","volume":"159"},"uris":["http://www.mendeley.com/documents/?uuid=1c77fe6b-eba4-4c78-a559-592461ffd4c8"]},{"id":"ITEM-2","itemData":{"DOI":"10.1016/j.jsamd.2018.01.002","ISSN":"24682179","abstract":"This review article provides a deep insight into the ion conduction mechanism in polymer electrolytes (PEs). The concepts of different categories of polymer electrolytes are discussed. The significance of the existence of functional (polar) groups on the backbone of host polymers, which are used in polymer electrolytes, is well explained. The working principle of electrical impedance spectroscopy (EIS) is overviewed. The relationship between impedance plots and equivalent circuits, which are crucial for electrical characterization, is extensively interpreted. Based on the patterns of dc conductivity (σdc) versus 1000/T, the ion transport models of Arrhenius and Vogel–Tammann–Fulcher (VTF) are discussed. Effects of coupling and decoupling between ionic motion and polymer segmental relaxation are analyzed. The important role of dielectric constant on cationic transport in PEs is also explained. The relationships existing between electrical and dielectric parameters are elucidated, which help interpret and understand the ion conduction mechanism. From the reported empirical curves of dc conductivity vs. dielectric constant, the reformulated Arrhenius [σdc(T)=σ0exp(−[Formula presented])] equation is proposed. Finally, other important phenomena, occurring in polymer electrolytes, are shown to be understandable from the dielectric constant studies.","author":[{"dropping-particle":"","family":"Aziz","given":"Shujahadeen B.","non-dropping-particle":"","parse-names":false,"suffix":""},{"dropping-particle":"","family":"Woo","given":"Thompson J.","non-dropping-particle":"","parse-names":false,"suffix":""},{"dropping-particle":"","family":"Kadir","given":"M. F.Z.","non-dropping-particle":"","parse-names":false,"suffix":""},{"dropping-particle":"","family":"Ahmed","given":"Hameed M.","non-dropping-particle":"","parse-names":false,"suffix":""}],"container-title":"Journal of Science: Advanced Materials and Devices","id":"ITEM-2","issue":"1","issued":{"date-parts":[["2018"]]},"page":"1-17","publisher":"Elsevier Ltd","title":"A conceptual review on polymer electrolytes and ion transport models","type":"article-journal","volume":"3"},"uris":["http://www.mendeley.com/documents/?uuid=d3cf9440-e835-4925-9896-f1810237a46c"]}],"mendeley":{"formattedCitation":"[7], [44]","plainTextFormattedCitation":"[7], [44]","previouslyFormattedCitation":"[7], [44]"},"properties":{"noteIndex":0},"schema":"https://github.com/citation-style-language/schema/raw/master/csl-citation.json"}</w:instrText>
      </w:r>
      <w:r w:rsidRPr="00D120AC">
        <w:rPr>
          <w:color w:val="000000" w:themeColor="text1"/>
          <w:vertAlign w:val="superscript"/>
          <w:lang w:val="en-CA"/>
        </w:rPr>
        <w:fldChar w:fldCharType="separate"/>
      </w:r>
      <w:r w:rsidRPr="00D120AC">
        <w:rPr>
          <w:noProof/>
          <w:color w:val="000000" w:themeColor="text1"/>
          <w:vertAlign w:val="superscript"/>
          <w:lang w:val="en-CA"/>
        </w:rPr>
        <w:t>7,4</w:t>
      </w:r>
      <w:r w:rsidR="007C4759">
        <w:rPr>
          <w:noProof/>
          <w:color w:val="000000" w:themeColor="text1"/>
          <w:vertAlign w:val="superscript"/>
          <w:lang w:val="en-CA"/>
        </w:rPr>
        <w:t>7</w:t>
      </w:r>
      <w:r w:rsidRPr="00D120AC">
        <w:rPr>
          <w:color w:val="000000" w:themeColor="text1"/>
          <w:vertAlign w:val="superscript"/>
          <w:lang w:val="en-CA"/>
        </w:rPr>
        <w:fldChar w:fldCharType="end"/>
      </w:r>
      <w:r w:rsidRPr="00D120AC">
        <w:rPr>
          <w:color w:val="000000" w:themeColor="text1"/>
          <w:lang w:val="en-CA"/>
        </w:rPr>
        <w:t xml:space="preserve"> We investigated changes in the PEO crystallization behavior, as well as the surface and bulk morphology of PEO films with two different molecular weights (PEO</w:t>
      </w:r>
      <w:r w:rsidRPr="00D120AC">
        <w:rPr>
          <w:color w:val="000000" w:themeColor="text1"/>
          <w:vertAlign w:val="subscript"/>
          <w:lang w:val="en-CA"/>
        </w:rPr>
        <w:t>4k</w:t>
      </w:r>
      <w:r w:rsidRPr="00D120AC">
        <w:rPr>
          <w:color w:val="000000" w:themeColor="text1"/>
          <w:lang w:val="en-CA"/>
        </w:rPr>
        <w:t xml:space="preserve"> and PEO</w:t>
      </w:r>
      <w:r w:rsidRPr="00D120AC">
        <w:rPr>
          <w:color w:val="000000" w:themeColor="text1"/>
          <w:vertAlign w:val="subscript"/>
          <w:lang w:val="en-CA"/>
        </w:rPr>
        <w:t>100k</w:t>
      </w:r>
      <w:r w:rsidRPr="00D120AC">
        <w:rPr>
          <w:color w:val="000000" w:themeColor="text1"/>
          <w:lang w:val="en-CA"/>
        </w:rPr>
        <w:t>) upon the addition of LiClO</w:t>
      </w:r>
      <w:r w:rsidRPr="00D120AC">
        <w:rPr>
          <w:color w:val="000000" w:themeColor="text1"/>
          <w:vertAlign w:val="subscript"/>
          <w:lang w:val="en-CA"/>
        </w:rPr>
        <w:t>4</w:t>
      </w:r>
      <w:r w:rsidRPr="00D120AC">
        <w:rPr>
          <w:color w:val="000000" w:themeColor="text1"/>
          <w:lang w:val="en-CA"/>
        </w:rPr>
        <w:t xml:space="preserve"> and t-CNFs. The two different chain lengths were chosen </w:t>
      </w:r>
      <w:proofErr w:type="gramStart"/>
      <w:r w:rsidRPr="00D120AC">
        <w:rPr>
          <w:color w:val="000000" w:themeColor="text1"/>
          <w:lang w:val="en-CA"/>
        </w:rPr>
        <w:t>in order to</w:t>
      </w:r>
      <w:proofErr w:type="gramEnd"/>
      <w:r w:rsidRPr="00D120AC">
        <w:rPr>
          <w:color w:val="000000" w:themeColor="text1"/>
          <w:lang w:val="en-CA"/>
        </w:rPr>
        <w:t xml:space="preserve"> probe the effect of crystallinity without sacrificing the chain segmental motion of the two PEO candidates. PEO</w:t>
      </w:r>
      <w:r w:rsidRPr="00D120AC">
        <w:rPr>
          <w:color w:val="000000" w:themeColor="text1"/>
          <w:vertAlign w:val="subscript"/>
          <w:lang w:val="en-CA"/>
        </w:rPr>
        <w:t xml:space="preserve">4k </w:t>
      </w:r>
      <w:r w:rsidRPr="00D120AC">
        <w:rPr>
          <w:color w:val="000000" w:themeColor="text1"/>
          <w:lang w:val="en-CA"/>
        </w:rPr>
        <w:t>is approximately of the entanglement molecular weight for PEO and therefore expected to have high chain mobility as well as fold length, while PEO</w:t>
      </w:r>
      <w:r w:rsidRPr="00D120AC">
        <w:rPr>
          <w:color w:val="000000" w:themeColor="text1"/>
          <w:vertAlign w:val="subscript"/>
          <w:lang w:val="en-CA"/>
        </w:rPr>
        <w:t>100k</w:t>
      </w:r>
      <w:r w:rsidRPr="00D120AC">
        <w:rPr>
          <w:color w:val="000000" w:themeColor="text1"/>
          <w:lang w:val="en-CA"/>
        </w:rPr>
        <w:t xml:space="preserve"> was previously reported to have approximately the same ionic conductivity as PEO</w:t>
      </w:r>
      <w:r w:rsidRPr="00D120AC">
        <w:rPr>
          <w:color w:val="000000" w:themeColor="text1"/>
          <w:vertAlign w:val="subscript"/>
          <w:lang w:val="en-CA"/>
        </w:rPr>
        <w:t>4k</w:t>
      </w:r>
      <w:r w:rsidRPr="00D120AC">
        <w:rPr>
          <w:color w:val="000000" w:themeColor="text1"/>
          <w:lang w:val="en-CA"/>
        </w:rPr>
        <w:t>.</w:t>
      </w:r>
      <w:r w:rsidRPr="00D120AC">
        <w:rPr>
          <w:color w:val="000000" w:themeColor="text1"/>
          <w:vertAlign w:val="superscript"/>
          <w:lang w:val="en-CA"/>
        </w:rPr>
        <w:t>4</w:t>
      </w:r>
      <w:r w:rsidR="00B15BDB">
        <w:rPr>
          <w:color w:val="000000" w:themeColor="text1"/>
          <w:vertAlign w:val="superscript"/>
          <w:lang w:val="en-CA"/>
        </w:rPr>
        <w:t>8</w:t>
      </w:r>
      <w:r w:rsidRPr="00D120AC">
        <w:rPr>
          <w:color w:val="000000" w:themeColor="text1"/>
          <w:lang w:val="en-CA"/>
        </w:rPr>
        <w:t xml:space="preserve"> DSC results in </w:t>
      </w:r>
      <w:r w:rsidRPr="00D120AC">
        <w:rPr>
          <w:b/>
          <w:bCs/>
          <w:color w:val="000000" w:themeColor="text1"/>
          <w:lang w:val="en-CA"/>
        </w:rPr>
        <w:t>Figure 1a</w:t>
      </w:r>
      <w:r w:rsidRPr="00D120AC">
        <w:rPr>
          <w:color w:val="000000" w:themeColor="text1"/>
          <w:lang w:val="en-CA"/>
        </w:rPr>
        <w:t xml:space="preserve"> and </w:t>
      </w:r>
      <w:r w:rsidRPr="00D120AC">
        <w:rPr>
          <w:b/>
          <w:bCs/>
          <w:color w:val="000000" w:themeColor="text1"/>
          <w:lang w:val="en-CA"/>
        </w:rPr>
        <w:t>b</w:t>
      </w:r>
      <w:r w:rsidRPr="00D120AC">
        <w:rPr>
          <w:color w:val="000000" w:themeColor="text1"/>
          <w:lang w:val="en-CA"/>
        </w:rPr>
        <w:t xml:space="preserve"> reveal that the addition of LiClO</w:t>
      </w:r>
      <w:r w:rsidRPr="00D120AC">
        <w:rPr>
          <w:color w:val="000000" w:themeColor="text1"/>
          <w:vertAlign w:val="subscript"/>
          <w:lang w:val="en-CA"/>
        </w:rPr>
        <w:t>4</w:t>
      </w:r>
      <w:r w:rsidRPr="00D120AC">
        <w:rPr>
          <w:color w:val="000000" w:themeColor="text1"/>
          <w:lang w:val="en-CA"/>
        </w:rPr>
        <w:t xml:space="preserve"> decreased the degree of crystallinity for both PEO</w:t>
      </w:r>
      <w:r w:rsidRPr="00D120AC">
        <w:rPr>
          <w:color w:val="000000" w:themeColor="text1"/>
          <w:vertAlign w:val="subscript"/>
          <w:lang w:val="en-CA"/>
        </w:rPr>
        <w:t>4k</w:t>
      </w:r>
      <w:r w:rsidRPr="00D120AC">
        <w:rPr>
          <w:color w:val="000000" w:themeColor="text1"/>
          <w:lang w:val="en-CA"/>
        </w:rPr>
        <w:t xml:space="preserve"> and PEO</w:t>
      </w:r>
      <w:r w:rsidRPr="00D120AC">
        <w:rPr>
          <w:color w:val="000000" w:themeColor="text1"/>
          <w:vertAlign w:val="subscript"/>
          <w:lang w:val="en-CA"/>
        </w:rPr>
        <w:t>100k</w:t>
      </w:r>
      <w:r w:rsidRPr="00D120AC">
        <w:rPr>
          <w:color w:val="000000" w:themeColor="text1"/>
          <w:lang w:val="en-CA"/>
        </w:rPr>
        <w:t xml:space="preserve">, while the introduction of t-CNFs influenced crystallinity and crystallization behaviour more drastically. The films containing t-CNFs </w:t>
      </w:r>
      <w:proofErr w:type="gramStart"/>
      <w:r w:rsidRPr="00D120AC">
        <w:rPr>
          <w:color w:val="000000" w:themeColor="text1"/>
          <w:lang w:val="en-CA"/>
        </w:rPr>
        <w:t>are characterized</w:t>
      </w:r>
      <w:proofErr w:type="gramEnd"/>
      <w:r w:rsidRPr="00D120AC">
        <w:rPr>
          <w:color w:val="000000" w:themeColor="text1"/>
          <w:lang w:val="en-CA"/>
        </w:rPr>
        <w:t xml:space="preserve"> by the significant decrease in overall crystallinity, wider </w:t>
      </w:r>
      <w:r w:rsidRPr="00D120AC">
        <w:rPr>
          <w:color w:val="000000" w:themeColor="text1"/>
          <w:lang w:val="en-CA"/>
        </w:rPr>
        <w:lastRenderedPageBreak/>
        <w:t xml:space="preserve">melting region, and shift of the onset of melting </w:t>
      </w:r>
      <w:r w:rsidR="00A77200">
        <w:rPr>
          <w:color w:val="000000" w:themeColor="text1"/>
          <w:lang w:val="en-CA"/>
        </w:rPr>
        <w:t xml:space="preserve">and crystallization </w:t>
      </w:r>
      <w:r w:rsidRPr="00D120AC">
        <w:rPr>
          <w:color w:val="000000" w:themeColor="text1"/>
          <w:lang w:val="en-CA"/>
        </w:rPr>
        <w:t xml:space="preserve">towards lower temperatures (Figure 1b). This effect becomes more prominent with the increase in t-CNF content from 20 to 33 wt. % and decrease in PEO molecular weight from 100 to 4 </w:t>
      </w:r>
      <w:proofErr w:type="spellStart"/>
      <w:r w:rsidRPr="00D120AC">
        <w:rPr>
          <w:color w:val="000000" w:themeColor="text1"/>
          <w:lang w:val="en-CA"/>
        </w:rPr>
        <w:t>kDa</w:t>
      </w:r>
      <w:proofErr w:type="spellEnd"/>
      <w:r w:rsidRPr="00D120AC">
        <w:rPr>
          <w:color w:val="000000" w:themeColor="text1"/>
          <w:lang w:val="en-CA"/>
        </w:rPr>
        <w:t xml:space="preserve">. </w:t>
      </w:r>
      <w:r w:rsidR="00A77200">
        <w:rPr>
          <w:color w:val="000000" w:themeColor="text1"/>
          <w:lang w:val="en-CA"/>
        </w:rPr>
        <w:t xml:space="preserve">As PEO semi-crystalline nature at ambient temperature is one of the reasons </w:t>
      </w:r>
      <w:r w:rsidR="00AA3504">
        <w:rPr>
          <w:color w:val="000000" w:themeColor="text1"/>
          <w:lang w:val="en-CA"/>
        </w:rPr>
        <w:t>for</w:t>
      </w:r>
      <w:r w:rsidR="00A77200">
        <w:rPr>
          <w:color w:val="000000" w:themeColor="text1"/>
          <w:lang w:val="en-CA"/>
        </w:rPr>
        <w:t xml:space="preserve"> its poor ionic conductivity, such crystallization retardation effect </w:t>
      </w:r>
      <w:r w:rsidR="00AA3504">
        <w:rPr>
          <w:color w:val="000000" w:themeColor="text1"/>
          <w:lang w:val="en-CA"/>
        </w:rPr>
        <w:t>induced by</w:t>
      </w:r>
      <w:r w:rsidR="00A77200">
        <w:rPr>
          <w:color w:val="000000" w:themeColor="text1"/>
          <w:lang w:val="en-CA"/>
        </w:rPr>
        <w:t xml:space="preserve"> t-CNF, after proper optimization, can be a pathway towards PEO composites </w:t>
      </w:r>
      <w:r w:rsidR="00AA3504">
        <w:rPr>
          <w:color w:val="000000" w:themeColor="text1"/>
          <w:lang w:val="en-CA"/>
        </w:rPr>
        <w:t xml:space="preserve">with improved ambient temperature ionic conductivity. </w:t>
      </w:r>
      <w:r w:rsidRPr="00D120AC">
        <w:rPr>
          <w:color w:val="000000" w:themeColor="text1"/>
          <w:lang w:val="en-CA"/>
        </w:rPr>
        <w:t xml:space="preserve">Since both PEO chains </w:t>
      </w:r>
      <w:proofErr w:type="gramStart"/>
      <w:r w:rsidRPr="00D120AC">
        <w:rPr>
          <w:color w:val="000000" w:themeColor="text1"/>
          <w:lang w:val="en-CA"/>
        </w:rPr>
        <w:t>are hydroxyl-ended</w:t>
      </w:r>
      <w:proofErr w:type="gramEnd"/>
      <w:r w:rsidRPr="00D120AC">
        <w:rPr>
          <w:color w:val="000000" w:themeColor="text1"/>
          <w:lang w:val="en-CA"/>
        </w:rPr>
        <w:t>, the larger drop in the crystallinity of PEO</w:t>
      </w:r>
      <w:r w:rsidRPr="00D120AC">
        <w:rPr>
          <w:color w:val="000000" w:themeColor="text1"/>
          <w:vertAlign w:val="subscript"/>
          <w:lang w:val="en-CA"/>
        </w:rPr>
        <w:t>4k</w:t>
      </w:r>
      <w:r w:rsidRPr="00D120AC">
        <w:rPr>
          <w:color w:val="000000" w:themeColor="text1"/>
          <w:lang w:val="en-CA"/>
        </w:rPr>
        <w:t xml:space="preserve"> in the presence of t-CNFs could be attributed to the enhanced interaction in the PEO solution/t-CNF suspension prior to film formation between carboxyl groups on the t-CNFs and a larger number of hydroxyl groups present on PEO</w:t>
      </w:r>
      <w:r w:rsidRPr="00D120AC">
        <w:rPr>
          <w:color w:val="000000" w:themeColor="text1"/>
          <w:vertAlign w:val="subscript"/>
          <w:lang w:val="en-CA"/>
        </w:rPr>
        <w:t xml:space="preserve">4k </w:t>
      </w:r>
      <w:r w:rsidRPr="00D120AC">
        <w:rPr>
          <w:color w:val="000000" w:themeColor="text1"/>
          <w:lang w:val="en-CA"/>
        </w:rPr>
        <w:t>chains. Alternatively, the lower viscosity of the PEO</w:t>
      </w:r>
      <w:r w:rsidRPr="00D120AC">
        <w:rPr>
          <w:color w:val="000000" w:themeColor="text1"/>
          <w:vertAlign w:val="subscript"/>
          <w:lang w:val="en-CA"/>
        </w:rPr>
        <w:t>4k</w:t>
      </w:r>
      <w:r w:rsidRPr="00D120AC">
        <w:rPr>
          <w:color w:val="000000" w:themeColor="text1"/>
          <w:lang w:val="en-CA"/>
        </w:rPr>
        <w:t xml:space="preserve"> solution could lead to better t-CNF network distribution in the PEO</w:t>
      </w:r>
      <w:r w:rsidRPr="00D120AC">
        <w:rPr>
          <w:color w:val="000000" w:themeColor="text1"/>
          <w:vertAlign w:val="subscript"/>
          <w:lang w:val="en-CA"/>
        </w:rPr>
        <w:t>4k</w:t>
      </w:r>
      <w:r w:rsidRPr="00D120AC">
        <w:rPr>
          <w:color w:val="000000" w:themeColor="text1"/>
          <w:lang w:val="en-CA"/>
        </w:rPr>
        <w:t xml:space="preserve"> system prior to film casting and consequently provide better hinderance for crystalline spherulite growth during the drying step.</w:t>
      </w:r>
    </w:p>
    <w:p w14:paraId="2CBF2A8C" w14:textId="77777777" w:rsidR="00872A4B" w:rsidRPr="00D120AC" w:rsidRDefault="00872A4B" w:rsidP="00872A4B">
      <w:pPr>
        <w:spacing w:before="240" w:line="480" w:lineRule="auto"/>
        <w:contextualSpacing/>
        <w:jc w:val="center"/>
        <w:rPr>
          <w:color w:val="000000" w:themeColor="text1"/>
          <w:lang w:val="en-CA"/>
        </w:rPr>
      </w:pPr>
      <w:r w:rsidRPr="00D120AC">
        <w:rPr>
          <w:noProof/>
          <w:color w:val="000000" w:themeColor="text1"/>
          <w:lang w:val="en-CA" w:eastAsia="en-CA"/>
        </w:rPr>
        <w:drawing>
          <wp:inline distT="0" distB="0" distL="0" distR="0" wp14:anchorId="69901E9B" wp14:editId="5119E039">
            <wp:extent cx="2863970" cy="3070134"/>
            <wp:effectExtent l="0" t="0" r="0" b="0"/>
            <wp:docPr id="2" name="Picture 2" descr="C:\Users\Beavers\Desktop\PAPER FOR PUBLICATION AND GUIDELINES\FIGURES\Tif\Fig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vers\Desktop\PAPER FOR PUBLICATION AND GUIDELINES\FIGURES\Tif\Fig1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852" cy="3072151"/>
                    </a:xfrm>
                    <a:prstGeom prst="rect">
                      <a:avLst/>
                    </a:prstGeom>
                    <a:noFill/>
                    <a:ln>
                      <a:noFill/>
                    </a:ln>
                  </pic:spPr>
                </pic:pic>
              </a:graphicData>
            </a:graphic>
          </wp:inline>
        </w:drawing>
      </w:r>
      <w:r w:rsidRPr="00D120AC">
        <w:rPr>
          <w:noProof/>
          <w:color w:val="000000" w:themeColor="text1"/>
          <w:lang w:val="en-CA" w:eastAsia="en-CA"/>
        </w:rPr>
        <w:drawing>
          <wp:inline distT="0" distB="0" distL="0" distR="0" wp14:anchorId="00B7A456" wp14:editId="09112340">
            <wp:extent cx="2855343" cy="3074198"/>
            <wp:effectExtent l="0" t="0" r="0" b="0"/>
            <wp:docPr id="6" name="Picture 6" descr="C:\Users\Beavers\Desktop\PAPER FOR PUBLICATION AND GUIDELINES\FIGURES\Tif\Fig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vers\Desktop\PAPER FOR PUBLICATION AND GUIDELINES\FIGURES\Tif\Fig1b.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149" cy="3107365"/>
                    </a:xfrm>
                    <a:prstGeom prst="rect">
                      <a:avLst/>
                    </a:prstGeom>
                    <a:noFill/>
                    <a:ln>
                      <a:noFill/>
                    </a:ln>
                  </pic:spPr>
                </pic:pic>
              </a:graphicData>
            </a:graphic>
          </wp:inline>
        </w:drawing>
      </w:r>
    </w:p>
    <w:p w14:paraId="12A54980" w14:textId="7181FF7A" w:rsidR="00872A4B" w:rsidRPr="00AA3504" w:rsidRDefault="00872A4B" w:rsidP="00872A4B">
      <w:pPr>
        <w:spacing w:before="240"/>
        <w:contextualSpacing/>
        <w:rPr>
          <w:color w:val="000000" w:themeColor="text1"/>
          <w:lang w:val="en-CA"/>
        </w:rPr>
      </w:pPr>
      <w:r w:rsidRPr="00D120AC">
        <w:rPr>
          <w:b/>
          <w:color w:val="000000" w:themeColor="text1"/>
          <w:lang w:val="en-CA"/>
        </w:rPr>
        <w:t>Figure 1.</w:t>
      </w:r>
      <w:r w:rsidRPr="00D120AC">
        <w:rPr>
          <w:color w:val="000000" w:themeColor="text1"/>
          <w:lang w:val="en-CA"/>
        </w:rPr>
        <w:t xml:space="preserve"> DSC scans of pure PEO with different MW, PEO + LiClO</w:t>
      </w:r>
      <w:r w:rsidRPr="00D120AC">
        <w:rPr>
          <w:color w:val="000000" w:themeColor="text1"/>
          <w:vertAlign w:val="subscript"/>
          <w:lang w:val="en-CA"/>
        </w:rPr>
        <w:t>4</w:t>
      </w:r>
      <w:r w:rsidRPr="00D120AC">
        <w:rPr>
          <w:color w:val="000000" w:themeColor="text1"/>
          <w:lang w:val="en-CA"/>
        </w:rPr>
        <w:t xml:space="preserve"> electrolytes, and CPSEs with LiClO</w:t>
      </w:r>
      <w:r w:rsidRPr="00D120AC">
        <w:rPr>
          <w:color w:val="000000" w:themeColor="text1"/>
          <w:vertAlign w:val="subscript"/>
          <w:lang w:val="en-CA"/>
        </w:rPr>
        <w:t>4</w:t>
      </w:r>
      <w:r w:rsidRPr="00D120AC">
        <w:rPr>
          <w:color w:val="000000" w:themeColor="text1"/>
          <w:lang w:val="en-CA"/>
        </w:rPr>
        <w:t xml:space="preserve"> and t-CNFs </w:t>
      </w:r>
      <w:proofErr w:type="gramStart"/>
      <w:r w:rsidRPr="00D120AC">
        <w:rPr>
          <w:color w:val="000000" w:themeColor="text1"/>
          <w:lang w:val="en-CA"/>
        </w:rPr>
        <w:t>during:</w:t>
      </w:r>
      <w:proofErr w:type="gramEnd"/>
      <w:r w:rsidRPr="00D120AC">
        <w:rPr>
          <w:color w:val="000000" w:themeColor="text1"/>
          <w:lang w:val="en-CA"/>
        </w:rPr>
        <w:t xml:space="preserve"> a) heating and b) cooling.</w:t>
      </w:r>
    </w:p>
    <w:p w14:paraId="3DD2FBAE" w14:textId="77777777" w:rsidR="00AA3504" w:rsidRDefault="00AA3504" w:rsidP="003B3345">
      <w:pPr>
        <w:spacing w:line="480" w:lineRule="auto"/>
        <w:ind w:firstLine="720"/>
        <w:contextualSpacing/>
        <w:rPr>
          <w:color w:val="000000" w:themeColor="text1"/>
          <w:lang w:val="en-CA"/>
        </w:rPr>
      </w:pPr>
    </w:p>
    <w:p w14:paraId="32BC7923" w14:textId="5A68A1BF" w:rsidR="00872A4B" w:rsidRPr="00D120AC" w:rsidRDefault="00872A4B" w:rsidP="003B3345">
      <w:pPr>
        <w:spacing w:line="480" w:lineRule="auto"/>
        <w:ind w:firstLine="720"/>
        <w:contextualSpacing/>
        <w:rPr>
          <w:color w:val="000000" w:themeColor="text1"/>
          <w:lang w:val="en-CA"/>
        </w:rPr>
      </w:pPr>
      <w:r w:rsidRPr="00D120AC">
        <w:rPr>
          <w:color w:val="000000" w:themeColor="text1"/>
          <w:lang w:val="en-CA"/>
        </w:rPr>
        <w:t xml:space="preserve">Thermal stability of neat PEO electrolyte and composite film </w:t>
      </w:r>
      <w:proofErr w:type="gramStart"/>
      <w:r w:rsidRPr="00D120AC">
        <w:rPr>
          <w:color w:val="000000" w:themeColor="text1"/>
          <w:lang w:val="en-CA"/>
        </w:rPr>
        <w:t>was studied</w:t>
      </w:r>
      <w:proofErr w:type="gramEnd"/>
      <w:r w:rsidRPr="00D120AC">
        <w:rPr>
          <w:color w:val="000000" w:themeColor="text1"/>
          <w:lang w:val="en-CA"/>
        </w:rPr>
        <w:t xml:space="preserve"> by thermogravimetric analysis (TGA). Results show that both electrolytes are </w:t>
      </w:r>
      <w:proofErr w:type="gramStart"/>
      <w:r w:rsidRPr="00D120AC">
        <w:rPr>
          <w:color w:val="000000" w:themeColor="text1"/>
          <w:lang w:val="en-CA"/>
        </w:rPr>
        <w:t>relatively stable</w:t>
      </w:r>
      <w:proofErr w:type="gramEnd"/>
      <w:r w:rsidRPr="00D120AC">
        <w:rPr>
          <w:color w:val="000000" w:themeColor="text1"/>
          <w:lang w:val="en-CA"/>
        </w:rPr>
        <w:t xml:space="preserve"> up </w:t>
      </w:r>
      <w:r w:rsidRPr="00D120AC">
        <w:rPr>
          <w:color w:val="000000" w:themeColor="text1"/>
          <w:lang w:val="en-CA"/>
        </w:rPr>
        <w:lastRenderedPageBreak/>
        <w:t xml:space="preserve">to 400ºC. </w:t>
      </w:r>
      <w:r w:rsidR="00D05109">
        <w:rPr>
          <w:color w:val="000000" w:themeColor="text1"/>
          <w:lang w:val="en-CA"/>
        </w:rPr>
        <w:t>The slight degradation observed between 250 and 370</w:t>
      </w:r>
      <w:r w:rsidR="00595ECF" w:rsidRPr="00D120AC">
        <w:rPr>
          <w:color w:val="000000" w:themeColor="text1"/>
          <w:lang w:val="en-CA"/>
        </w:rPr>
        <w:t>º</w:t>
      </w:r>
      <w:r w:rsidR="00D05109" w:rsidRPr="00D120AC">
        <w:rPr>
          <w:color w:val="000000" w:themeColor="text1"/>
          <w:lang w:val="en-CA"/>
        </w:rPr>
        <w:t>C</w:t>
      </w:r>
      <w:r w:rsidR="00D05109">
        <w:rPr>
          <w:color w:val="000000" w:themeColor="text1"/>
          <w:lang w:val="en-CA"/>
        </w:rPr>
        <w:t xml:space="preserve"> in the </w:t>
      </w:r>
      <w:r w:rsidR="00D05109" w:rsidRPr="00D120AC">
        <w:rPr>
          <w:color w:val="000000" w:themeColor="text1"/>
          <w:lang w:val="en-CA"/>
        </w:rPr>
        <w:t>PEO/t-CNF composite</w:t>
      </w:r>
      <w:r w:rsidR="00D05109">
        <w:rPr>
          <w:color w:val="000000" w:themeColor="text1"/>
          <w:lang w:val="en-CA"/>
        </w:rPr>
        <w:t>s</w:t>
      </w:r>
      <w:r w:rsidR="00744C12">
        <w:rPr>
          <w:color w:val="000000" w:themeColor="text1"/>
          <w:lang w:val="en-CA"/>
        </w:rPr>
        <w:t xml:space="preserve"> is attributed to decomposition of carboxyl groups on the t-</w:t>
      </w:r>
      <w:proofErr w:type="gramStart"/>
      <w:r w:rsidR="00744C12">
        <w:rPr>
          <w:color w:val="000000" w:themeColor="text1"/>
          <w:lang w:val="en-CA"/>
        </w:rPr>
        <w:t>CNF, and</w:t>
      </w:r>
      <w:proofErr w:type="gramEnd"/>
      <w:r w:rsidR="00744C12">
        <w:rPr>
          <w:color w:val="000000" w:themeColor="text1"/>
          <w:lang w:val="en-CA"/>
        </w:rPr>
        <w:t xml:space="preserve"> is in agreement with the previous reports.</w:t>
      </w:r>
      <w:r w:rsidR="00744C12" w:rsidRPr="00744C12">
        <w:rPr>
          <w:color w:val="000000" w:themeColor="text1"/>
          <w:vertAlign w:val="superscript"/>
          <w:lang w:val="en-CA"/>
        </w:rPr>
        <w:t xml:space="preserve"> </w:t>
      </w:r>
      <w:r w:rsidR="00744C12" w:rsidRPr="00D120AC">
        <w:rPr>
          <w:color w:val="000000" w:themeColor="text1"/>
          <w:vertAlign w:val="superscript"/>
          <w:lang w:val="en-CA"/>
        </w:rPr>
        <w:t>4</w:t>
      </w:r>
      <w:r w:rsidR="00744C12">
        <w:rPr>
          <w:color w:val="000000" w:themeColor="text1"/>
          <w:vertAlign w:val="superscript"/>
          <w:lang w:val="en-CA"/>
        </w:rPr>
        <w:t>2</w:t>
      </w:r>
      <w:r w:rsidR="00744C12" w:rsidRPr="00D120AC">
        <w:rPr>
          <w:color w:val="000000" w:themeColor="text1"/>
          <w:lang w:val="en-CA"/>
        </w:rPr>
        <w:t xml:space="preserve"> </w:t>
      </w:r>
      <w:r w:rsidRPr="00D120AC">
        <w:rPr>
          <w:color w:val="000000" w:themeColor="text1"/>
          <w:lang w:val="en-CA"/>
        </w:rPr>
        <w:t xml:space="preserve">In addition, the absence of a significant mass loss around 100ºC allows us to make a conclusion that all the water </w:t>
      </w:r>
      <w:proofErr w:type="gramStart"/>
      <w:r w:rsidRPr="00D120AC">
        <w:rPr>
          <w:color w:val="000000" w:themeColor="text1"/>
          <w:lang w:val="en-CA"/>
        </w:rPr>
        <w:t>was removed</w:t>
      </w:r>
      <w:proofErr w:type="gramEnd"/>
      <w:r w:rsidRPr="00D120AC">
        <w:rPr>
          <w:color w:val="000000" w:themeColor="text1"/>
          <w:lang w:val="en-CA"/>
        </w:rPr>
        <w:t xml:space="preserve"> from films during the drying procedure (Figure 2).</w:t>
      </w:r>
    </w:p>
    <w:p w14:paraId="038004CB" w14:textId="77777777" w:rsidR="00872A4B" w:rsidRPr="00D120AC" w:rsidRDefault="00872A4B" w:rsidP="00872A4B">
      <w:pPr>
        <w:spacing w:line="480" w:lineRule="auto"/>
        <w:contextualSpacing/>
        <w:jc w:val="center"/>
        <w:rPr>
          <w:color w:val="000000" w:themeColor="text1"/>
          <w:lang w:val="en-CA"/>
        </w:rPr>
      </w:pPr>
      <w:r w:rsidRPr="00D120AC">
        <w:rPr>
          <w:noProof/>
          <w:color w:val="000000" w:themeColor="text1"/>
          <w:lang w:val="en-CA" w:eastAsia="en-CA"/>
        </w:rPr>
        <w:drawing>
          <wp:inline distT="0" distB="0" distL="0" distR="0" wp14:anchorId="40F2DB65" wp14:editId="1E384631">
            <wp:extent cx="2976113" cy="2786912"/>
            <wp:effectExtent l="0" t="0" r="0" b="0"/>
            <wp:docPr id="14" name="Picture 14" descr="C:\Users\Beavers\Desktop\FILES FOR PAPER SUBMISSION\Figures\Fig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avers\Desktop\FILES FOR PAPER SUBMISSION\Figures\Fig2_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5894" cy="2805436"/>
                    </a:xfrm>
                    <a:prstGeom prst="rect">
                      <a:avLst/>
                    </a:prstGeom>
                    <a:noFill/>
                    <a:ln>
                      <a:noFill/>
                    </a:ln>
                  </pic:spPr>
                </pic:pic>
              </a:graphicData>
            </a:graphic>
          </wp:inline>
        </w:drawing>
      </w:r>
    </w:p>
    <w:p w14:paraId="6DF4E6E6" w14:textId="674AF0A0" w:rsidR="00AA3504" w:rsidRPr="00D120AC" w:rsidRDefault="00872A4B" w:rsidP="00872A4B">
      <w:pPr>
        <w:contextualSpacing/>
        <w:rPr>
          <w:color w:val="000000" w:themeColor="text1"/>
          <w:lang w:val="en-CA"/>
        </w:rPr>
      </w:pPr>
      <w:r w:rsidRPr="00D120AC">
        <w:rPr>
          <w:b/>
          <w:color w:val="000000" w:themeColor="text1"/>
          <w:lang w:val="en-CA"/>
        </w:rPr>
        <w:t>Fig</w:t>
      </w:r>
      <w:r w:rsidR="00EE770E">
        <w:rPr>
          <w:b/>
          <w:color w:val="000000" w:themeColor="text1"/>
          <w:lang w:val="en-CA"/>
        </w:rPr>
        <w:t>ure</w:t>
      </w:r>
      <w:r w:rsidRPr="00D120AC">
        <w:rPr>
          <w:b/>
          <w:color w:val="000000" w:themeColor="text1"/>
          <w:lang w:val="en-CA"/>
        </w:rPr>
        <w:t xml:space="preserve"> 2. </w:t>
      </w:r>
      <w:r w:rsidRPr="00D120AC">
        <w:rPr>
          <w:color w:val="000000" w:themeColor="text1"/>
          <w:lang w:val="en-CA"/>
        </w:rPr>
        <w:t>TGA curves of PEO electrolyte and a PEO/t-CNF composite.</w:t>
      </w:r>
    </w:p>
    <w:p w14:paraId="6F2C86E5" w14:textId="77777777" w:rsidR="00AA3504" w:rsidRDefault="00AA3504" w:rsidP="00872A4B">
      <w:pPr>
        <w:spacing w:line="480" w:lineRule="auto"/>
        <w:ind w:firstLine="720"/>
        <w:contextualSpacing/>
        <w:rPr>
          <w:color w:val="000000" w:themeColor="text1"/>
          <w:lang w:val="en-CA"/>
        </w:rPr>
      </w:pPr>
    </w:p>
    <w:p w14:paraId="446DC7A6" w14:textId="40FE19B2" w:rsidR="00872A4B" w:rsidRPr="00D120AC" w:rsidRDefault="00872A4B" w:rsidP="00872A4B">
      <w:pPr>
        <w:spacing w:line="480" w:lineRule="auto"/>
        <w:ind w:firstLine="720"/>
        <w:contextualSpacing/>
        <w:rPr>
          <w:color w:val="000000" w:themeColor="text1"/>
          <w:lang w:val="en-CA"/>
        </w:rPr>
      </w:pPr>
      <w:r w:rsidRPr="00D120AC">
        <w:rPr>
          <w:color w:val="000000" w:themeColor="text1"/>
          <w:lang w:val="en-CA"/>
        </w:rPr>
        <w:t xml:space="preserve">A combination of SEM and LSCM imaging </w:t>
      </w:r>
      <w:r w:rsidR="004275E6">
        <w:rPr>
          <w:color w:val="000000" w:themeColor="text1"/>
          <w:lang w:val="en-CA"/>
        </w:rPr>
        <w:t>allowed probing</w:t>
      </w:r>
      <w:r w:rsidRPr="00D120AC">
        <w:rPr>
          <w:color w:val="000000" w:themeColor="text1"/>
          <w:lang w:val="en-CA"/>
        </w:rPr>
        <w:t xml:space="preserve"> the differences between the CSPE surface and bulk morphology at an unprecedented level of detail and provide deeper insights into the origin of crystallinity changes we observe</w:t>
      </w:r>
      <w:r w:rsidR="004275E6">
        <w:rPr>
          <w:color w:val="000000" w:themeColor="text1"/>
          <w:lang w:val="en-CA"/>
        </w:rPr>
        <w:t>d</w:t>
      </w:r>
      <w:r w:rsidRPr="00D120AC">
        <w:rPr>
          <w:color w:val="000000" w:themeColor="text1"/>
          <w:lang w:val="en-CA"/>
        </w:rPr>
        <w:t xml:space="preserve"> in the DSC curves. Figure 3 shows comprehensive morphological analysis of both CPSE systems (PEO</w:t>
      </w:r>
      <w:r w:rsidRPr="00D120AC">
        <w:rPr>
          <w:color w:val="000000" w:themeColor="text1"/>
          <w:vertAlign w:val="subscript"/>
          <w:lang w:val="en-CA"/>
        </w:rPr>
        <w:t>4k</w:t>
      </w:r>
      <w:r w:rsidRPr="00D120AC">
        <w:rPr>
          <w:color w:val="000000" w:themeColor="text1"/>
          <w:lang w:val="en-CA"/>
        </w:rPr>
        <w:t xml:space="preserve"> and PEO</w:t>
      </w:r>
      <w:r w:rsidRPr="00D120AC">
        <w:rPr>
          <w:color w:val="000000" w:themeColor="text1"/>
          <w:vertAlign w:val="subscript"/>
          <w:lang w:val="en-CA"/>
        </w:rPr>
        <w:t>100k</w:t>
      </w:r>
      <w:r w:rsidRPr="00D120AC">
        <w:rPr>
          <w:color w:val="000000" w:themeColor="text1"/>
          <w:lang w:val="en-CA"/>
        </w:rPr>
        <w:t>) with 20 wt.% t-CNFs. Figure 3a and 3b show SEM images of pure PEO</w:t>
      </w:r>
      <w:r w:rsidRPr="00D120AC">
        <w:rPr>
          <w:color w:val="000000" w:themeColor="text1"/>
          <w:vertAlign w:val="subscript"/>
          <w:lang w:val="en-CA"/>
        </w:rPr>
        <w:t>100k</w:t>
      </w:r>
      <w:r w:rsidRPr="00D120AC">
        <w:rPr>
          <w:color w:val="000000" w:themeColor="text1"/>
          <w:lang w:val="en-CA"/>
        </w:rPr>
        <w:t xml:space="preserve"> and PEO</w:t>
      </w:r>
      <w:r w:rsidRPr="00D120AC">
        <w:rPr>
          <w:color w:val="000000" w:themeColor="text1"/>
          <w:vertAlign w:val="subscript"/>
          <w:lang w:val="en-CA"/>
        </w:rPr>
        <w:t>100k</w:t>
      </w:r>
      <w:r w:rsidRPr="00D120AC">
        <w:rPr>
          <w:color w:val="000000" w:themeColor="text1"/>
          <w:lang w:val="en-CA"/>
        </w:rPr>
        <w:t xml:space="preserve"> with LiClO</w:t>
      </w:r>
      <w:r w:rsidRPr="00D120AC">
        <w:rPr>
          <w:color w:val="000000" w:themeColor="text1"/>
          <w:vertAlign w:val="subscript"/>
          <w:lang w:val="en-CA"/>
        </w:rPr>
        <w:t>4</w:t>
      </w:r>
      <w:r w:rsidRPr="00D120AC">
        <w:rPr>
          <w:color w:val="000000" w:themeColor="text1"/>
          <w:lang w:val="en-CA"/>
        </w:rPr>
        <w:t xml:space="preserve"> indicating spherulitic formations on their surface, while Figure 3e-h show the spherulites in bulk through the reflectance and polarization modes, respectively.</w:t>
      </w:r>
    </w:p>
    <w:p w14:paraId="42911375" w14:textId="5D47EB92" w:rsidR="00872A4B" w:rsidRPr="00D120AC" w:rsidRDefault="00872A4B" w:rsidP="00872A4B">
      <w:pPr>
        <w:spacing w:line="480" w:lineRule="auto"/>
        <w:ind w:firstLine="720"/>
        <w:contextualSpacing/>
        <w:rPr>
          <w:color w:val="000000" w:themeColor="text1"/>
          <w:lang w:val="en-CA"/>
        </w:rPr>
      </w:pPr>
      <w:r w:rsidRPr="00D120AC">
        <w:rPr>
          <w:color w:val="000000" w:themeColor="text1"/>
          <w:lang w:val="en-CA"/>
        </w:rPr>
        <w:t>As seen from all SEM and reflection/polarization images, the addition of LiClO</w:t>
      </w:r>
      <w:r w:rsidRPr="00D120AC">
        <w:rPr>
          <w:color w:val="000000" w:themeColor="text1"/>
          <w:vertAlign w:val="subscript"/>
          <w:lang w:val="en-CA"/>
        </w:rPr>
        <w:t>4</w:t>
      </w:r>
      <w:r w:rsidRPr="00D120AC">
        <w:rPr>
          <w:color w:val="000000" w:themeColor="text1"/>
          <w:lang w:val="en-CA"/>
        </w:rPr>
        <w:t xml:space="preserve"> results in the formation of spherulites with depressed edges and a reduction of their overall size. It is noticeable that the PEO spherulites are tightly packed and occupy all visible area in both pure </w:t>
      </w:r>
      <w:r w:rsidRPr="00D120AC">
        <w:rPr>
          <w:color w:val="000000" w:themeColor="text1"/>
          <w:lang w:val="en-CA"/>
        </w:rPr>
        <w:lastRenderedPageBreak/>
        <w:t>PEO and PEO with LiClO</w:t>
      </w:r>
      <w:r w:rsidRPr="00D120AC">
        <w:rPr>
          <w:color w:val="000000" w:themeColor="text1"/>
          <w:vertAlign w:val="subscript"/>
          <w:lang w:val="en-CA"/>
        </w:rPr>
        <w:t>4</w:t>
      </w:r>
      <w:r w:rsidRPr="00D120AC">
        <w:rPr>
          <w:color w:val="000000" w:themeColor="text1"/>
          <w:lang w:val="en-CA"/>
        </w:rPr>
        <w:t>.</w:t>
      </w:r>
      <w:r w:rsidRPr="00D120AC" w:rsidDel="006B7DFC">
        <w:rPr>
          <w:color w:val="000000" w:themeColor="text1"/>
          <w:lang w:val="en-CA"/>
        </w:rPr>
        <w:t xml:space="preserve"> </w:t>
      </w:r>
      <w:r w:rsidRPr="00D120AC">
        <w:rPr>
          <w:color w:val="000000" w:themeColor="text1"/>
          <w:lang w:val="en-CA"/>
        </w:rPr>
        <w:t>However, the reflectance mode of LSCM allows us to observe aggregation of LiClO</w:t>
      </w:r>
      <w:r w:rsidRPr="00D120AC">
        <w:rPr>
          <w:color w:val="000000" w:themeColor="text1"/>
          <w:vertAlign w:val="subscript"/>
          <w:lang w:val="en-CA"/>
        </w:rPr>
        <w:t>4</w:t>
      </w:r>
      <w:r w:rsidRPr="00D120AC">
        <w:rPr>
          <w:color w:val="000000" w:themeColor="text1"/>
          <w:lang w:val="en-CA"/>
        </w:rPr>
        <w:t xml:space="preserve"> at the edges of the growing crystals (red labeled regions, Figure 3g). A similar observation was previously made through combination of X-ray diffraction and polarized microscopy techniques in a mixture of high molecular weight PEO (5</w:t>
      </w:r>
      <w:r w:rsidRPr="00D120AC">
        <w:rPr>
          <w:color w:val="000000" w:themeColor="text1"/>
          <w:lang w:val="en-CA"/>
        </w:rPr>
        <w:sym w:font="Symbol" w:char="F0B4"/>
      </w:r>
      <w:r w:rsidRPr="00D120AC">
        <w:rPr>
          <w:color w:val="000000" w:themeColor="text1"/>
          <w:lang w:val="en-CA"/>
        </w:rPr>
        <w:t>10</w:t>
      </w:r>
      <w:r w:rsidRPr="00D120AC">
        <w:rPr>
          <w:color w:val="000000" w:themeColor="text1"/>
          <w:vertAlign w:val="superscript"/>
          <w:lang w:val="en-CA"/>
        </w:rPr>
        <w:t>6</w:t>
      </w:r>
      <w:r w:rsidRPr="00D120AC">
        <w:rPr>
          <w:color w:val="000000" w:themeColor="text1"/>
          <w:lang w:val="en-CA"/>
        </w:rPr>
        <w:t xml:space="preserve"> Da) and LiTFSI.</w:t>
      </w:r>
      <w:r w:rsidRPr="00D120AC">
        <w:rPr>
          <w:color w:val="000000" w:themeColor="text1"/>
          <w:vertAlign w:val="superscript"/>
          <w:lang w:val="en-CA"/>
        </w:rPr>
        <w:fldChar w:fldCharType="begin" w:fldLock="1"/>
      </w:r>
      <w:r w:rsidRPr="00D120AC">
        <w:rPr>
          <w:color w:val="000000" w:themeColor="text1"/>
          <w:vertAlign w:val="superscript"/>
          <w:lang w:val="en-CA"/>
        </w:rPr>
        <w:instrText>ADDIN CSL_CITATION {"citationItems":[{"id":"ITEM-1","itemData":{"DOI":"10.1016/j.jpowsour.2006.02.044","ISSN":"03787753","abstract":"Polymer electrolytes formed from high molecular weight poly(ethylene oxide) with dissolved LiN(CF3SO2)2 salt were obtained by casting from solution. The compositions ranging from 16:1 to 8:1 EO:Li molar ratio were studied by the X-ray diffraction and by impedance spectroscopy simultaneously with polarizing microscope observation. Crystallization processes and the resulting morphology of electrolytes were investigated in the temperature range from 85 to -20 °C in various cooling and heating cycles. For all compositions, coexistence of crystalline phases of pure PEO and PEO6:LiTFSI complex was found. The results indicate that phase segregation plays a key role in the crystallization process. The amorphous phase acts like a reservoir of salt, which can be injected or drained by crystallizing spherulites of a defined composition. This interaction between pure PEO and PEO6:LiTFSI complex explains why effective crystallization process leading to a large decrease of conductivity can take place even in compositions close to the eutectic system. In such a system the concentration of salt in remaining amorphous phase can be very different from the initial composition of electrolyte. The ionic conductivity strongly depends on morphology of the electrolyte, which indicates a possibility of achieving high conductivity in the presence of the crystalline phases. © 2006 Elsevier B.V. All rights reserved.","author":[{"dropping-particle":"","family":"Marzantowicz","given":"M.","non-dropping-particle":"","parse-names":false,"suffix":""},{"dropping-particle":"","family":"Dygas","given":"J. R.","non-dropping-particle":"","parse-names":false,"suffix":""},{"dropping-particle":"","family":"Krok","given":"F.","non-dropping-particle":"","parse-names":false,"suffix":""},{"dropping-particle":"","family":"Nowiński","given":"J. L.","non-dropping-particle":"","parse-names":false,"suffix":""},{"dropping-particle":"","family":"Tomaszewska","given":"A.","non-dropping-particle":"","parse-names":false,"suffix":""},{"dropping-particle":"","family":"Florjańczyk","given":"Z.","non-dropping-particle":"","parse-names":false,"suffix":""},{"dropping-particle":"","family":"Zygadło-Monikowska","given":"E.","non-dropping-particle":"","parse-names":false,"suffix":""}],"container-title":"Journal of Power Sources","id":"ITEM-1","issue":"1 SPEC. ISS.","issued":{"date-parts":[["2006"]]},"page":"420-430","title":"Crystalline phases, morphology and conductivity of PEO:LiTFSI electrolytes in the eutectic region","type":"article-journal","volume":"159"},"uris":["http://www.mendeley.com/documents/?uuid=1c77fe6b-eba4-4c78-a559-592461ffd4c8"]}],"mendeley":{"formattedCitation":"[44]","plainTextFormattedCitation":"[44]"},"properties":{"noteIndex":0},"schema":"https://github.com/citation-style-language/schema/raw/master/csl-citation.json"}</w:instrText>
      </w:r>
      <w:r w:rsidRPr="00D120AC">
        <w:rPr>
          <w:color w:val="000000" w:themeColor="text1"/>
          <w:vertAlign w:val="superscript"/>
          <w:lang w:val="en-CA"/>
        </w:rPr>
        <w:fldChar w:fldCharType="separate"/>
      </w:r>
      <w:r w:rsidRPr="00D120AC">
        <w:rPr>
          <w:noProof/>
          <w:color w:val="000000" w:themeColor="text1"/>
          <w:vertAlign w:val="superscript"/>
          <w:lang w:val="en-CA"/>
        </w:rPr>
        <w:t>4</w:t>
      </w:r>
      <w:r w:rsidR="007C4759">
        <w:rPr>
          <w:noProof/>
          <w:color w:val="000000" w:themeColor="text1"/>
          <w:vertAlign w:val="superscript"/>
          <w:lang w:val="en-CA"/>
        </w:rPr>
        <w:t>7</w:t>
      </w:r>
      <w:r w:rsidRPr="00D120AC">
        <w:rPr>
          <w:color w:val="000000" w:themeColor="text1"/>
          <w:vertAlign w:val="superscript"/>
          <w:lang w:val="en-CA"/>
        </w:rPr>
        <w:fldChar w:fldCharType="end"/>
      </w:r>
      <w:r w:rsidRPr="00D120AC">
        <w:rPr>
          <w:color w:val="000000" w:themeColor="text1"/>
          <w:lang w:val="en-CA"/>
        </w:rPr>
        <w:t xml:space="preserve"> While the addition of LiClO</w:t>
      </w:r>
      <w:r w:rsidRPr="00D120AC">
        <w:rPr>
          <w:color w:val="000000" w:themeColor="text1"/>
          <w:vertAlign w:val="subscript"/>
          <w:lang w:val="en-CA"/>
        </w:rPr>
        <w:t>4</w:t>
      </w:r>
      <w:r w:rsidRPr="00D120AC">
        <w:rPr>
          <w:color w:val="000000" w:themeColor="text1"/>
          <w:lang w:val="en-CA"/>
        </w:rPr>
        <w:t xml:space="preserve"> affects the PEO crystal size and melting behaviour, it does not drastically change the degree of crystallinity, as evident from the overlaid DSC curves in Figure 3a and 3b.</w:t>
      </w:r>
    </w:p>
    <w:p w14:paraId="52A43569" w14:textId="77777777" w:rsidR="00872A4B" w:rsidRPr="00D120AC" w:rsidRDefault="00872A4B" w:rsidP="00872A4B">
      <w:pPr>
        <w:spacing w:line="480" w:lineRule="auto"/>
        <w:contextualSpacing/>
        <w:jc w:val="center"/>
        <w:rPr>
          <w:color w:val="000000" w:themeColor="text1"/>
          <w:lang w:val="en-CA"/>
        </w:rPr>
      </w:pPr>
      <w:r w:rsidRPr="00D120AC">
        <w:rPr>
          <w:noProof/>
          <w:color w:val="000000" w:themeColor="text1"/>
          <w:lang w:val="en-CA" w:eastAsia="en-CA"/>
        </w:rPr>
        <w:drawing>
          <wp:inline distT="0" distB="0" distL="0" distR="0" wp14:anchorId="4B59FED1" wp14:editId="56917ECD">
            <wp:extent cx="5917721" cy="4999463"/>
            <wp:effectExtent l="0" t="0" r="6985" b="0"/>
            <wp:docPr id="15" name="Picture 15" descr="C:\Users\Beavers\Desktop\PAPER FOR PUBLICATION AND GUIDELINES\FIGURES\Tif\Fig2 from Alek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vers\Desktop\PAPER FOR PUBLICATION AND GUIDELINES\FIGURES\Tif\Fig2 from Aleks.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608" cy="5017953"/>
                    </a:xfrm>
                    <a:prstGeom prst="rect">
                      <a:avLst/>
                    </a:prstGeom>
                    <a:noFill/>
                    <a:ln>
                      <a:noFill/>
                    </a:ln>
                  </pic:spPr>
                </pic:pic>
              </a:graphicData>
            </a:graphic>
          </wp:inline>
        </w:drawing>
      </w:r>
    </w:p>
    <w:p w14:paraId="00A1E90C" w14:textId="77777777" w:rsidR="00872A4B" w:rsidRPr="00D120AC" w:rsidRDefault="00872A4B" w:rsidP="00872A4B">
      <w:pPr>
        <w:contextualSpacing/>
        <w:rPr>
          <w:color w:val="000000" w:themeColor="text1"/>
          <w:lang w:val="en-CA"/>
        </w:rPr>
      </w:pPr>
      <w:r w:rsidRPr="00D120AC">
        <w:rPr>
          <w:b/>
          <w:color w:val="000000" w:themeColor="text1"/>
          <w:lang w:val="en-CA"/>
        </w:rPr>
        <w:t>Figure 3.</w:t>
      </w:r>
      <w:r w:rsidRPr="00D120AC">
        <w:rPr>
          <w:color w:val="000000" w:themeColor="text1"/>
          <w:lang w:val="en-CA"/>
        </w:rPr>
        <w:t xml:space="preserve"> Morphological and crystallinity characterization of pure PEO, PEO+LiClO</w:t>
      </w:r>
      <w:r w:rsidRPr="00D120AC">
        <w:rPr>
          <w:color w:val="000000" w:themeColor="text1"/>
          <w:vertAlign w:val="subscript"/>
          <w:lang w:val="en-CA"/>
        </w:rPr>
        <w:t>4</w:t>
      </w:r>
      <w:r w:rsidRPr="00D120AC">
        <w:rPr>
          <w:color w:val="000000" w:themeColor="text1"/>
          <w:lang w:val="en-CA"/>
        </w:rPr>
        <w:t xml:space="preserve"> and CSPE samples with t-CNF content of 20 wt. %. a – d) SEM of pure PEO, PEO + LiClO</w:t>
      </w:r>
      <w:r w:rsidRPr="00D120AC">
        <w:rPr>
          <w:color w:val="000000" w:themeColor="text1"/>
          <w:vertAlign w:val="subscript"/>
          <w:lang w:val="en-CA"/>
        </w:rPr>
        <w:t>4</w:t>
      </w:r>
      <w:r w:rsidRPr="00D120AC">
        <w:rPr>
          <w:color w:val="000000" w:themeColor="text1"/>
          <w:lang w:val="en-CA"/>
        </w:rPr>
        <w:t>, PEO</w:t>
      </w:r>
      <w:r w:rsidRPr="00D120AC">
        <w:rPr>
          <w:color w:val="000000" w:themeColor="text1"/>
          <w:vertAlign w:val="subscript"/>
          <w:lang w:val="en-CA"/>
        </w:rPr>
        <w:t>100k</w:t>
      </w:r>
      <w:r w:rsidRPr="00D120AC">
        <w:rPr>
          <w:color w:val="000000" w:themeColor="text1"/>
          <w:lang w:val="en-CA"/>
        </w:rPr>
        <w:t>-based CSPE and PEO</w:t>
      </w:r>
      <w:r w:rsidRPr="00D120AC">
        <w:rPr>
          <w:color w:val="000000" w:themeColor="text1"/>
          <w:vertAlign w:val="subscript"/>
          <w:lang w:val="en-CA"/>
        </w:rPr>
        <w:t>4k</w:t>
      </w:r>
      <w:r w:rsidRPr="00D120AC">
        <w:rPr>
          <w:color w:val="000000" w:themeColor="text1"/>
          <w:lang w:val="en-CA"/>
        </w:rPr>
        <w:t xml:space="preserve">-based CSPE with respective DSC curves and crystallinity values overlaid. e-l) Combination of polarized transmission, </w:t>
      </w:r>
      <w:proofErr w:type="gramStart"/>
      <w:r w:rsidRPr="00D120AC">
        <w:rPr>
          <w:color w:val="000000" w:themeColor="text1"/>
          <w:lang w:val="en-CA"/>
        </w:rPr>
        <w:t>reflection</w:t>
      </w:r>
      <w:proofErr w:type="gramEnd"/>
      <w:r w:rsidRPr="00D120AC">
        <w:rPr>
          <w:color w:val="000000" w:themeColor="text1"/>
          <w:lang w:val="en-CA"/>
        </w:rPr>
        <w:t xml:space="preserve"> and fluorescent microscopy of the 4 samples.</w:t>
      </w:r>
    </w:p>
    <w:p w14:paraId="5E76140D" w14:textId="77777777" w:rsidR="00872A4B" w:rsidRPr="00D120AC" w:rsidRDefault="00872A4B" w:rsidP="00872A4B">
      <w:pPr>
        <w:spacing w:line="480" w:lineRule="auto"/>
        <w:contextualSpacing/>
        <w:rPr>
          <w:color w:val="000000" w:themeColor="text1"/>
          <w:lang w:val="en-CA"/>
        </w:rPr>
      </w:pPr>
    </w:p>
    <w:p w14:paraId="72EC1462" w14:textId="1D37AB6F" w:rsidR="00872A4B" w:rsidRPr="00D120AC" w:rsidRDefault="00872A4B" w:rsidP="00872A4B">
      <w:pPr>
        <w:spacing w:line="480" w:lineRule="auto"/>
        <w:ind w:firstLine="720"/>
        <w:contextualSpacing/>
        <w:rPr>
          <w:color w:val="000000" w:themeColor="text1"/>
          <w:lang w:val="en-CA"/>
        </w:rPr>
      </w:pPr>
      <w:r w:rsidRPr="00D120AC">
        <w:rPr>
          <w:color w:val="000000" w:themeColor="text1"/>
          <w:lang w:val="en-CA"/>
        </w:rPr>
        <w:lastRenderedPageBreak/>
        <w:t xml:space="preserve">With the addition of t-CNFs, drastic changes </w:t>
      </w:r>
      <w:proofErr w:type="gramStart"/>
      <w:r w:rsidRPr="00D120AC">
        <w:rPr>
          <w:color w:val="000000" w:themeColor="text1"/>
          <w:lang w:val="en-CA"/>
        </w:rPr>
        <w:t>are evoked</w:t>
      </w:r>
      <w:proofErr w:type="gramEnd"/>
      <w:r w:rsidRPr="00D120AC">
        <w:rPr>
          <w:color w:val="000000" w:themeColor="text1"/>
          <w:lang w:val="en-CA"/>
        </w:rPr>
        <w:t xml:space="preserve"> in both film morphology and crystallinity of the PEO</w:t>
      </w:r>
      <w:r w:rsidRPr="00D120AC">
        <w:rPr>
          <w:color w:val="000000" w:themeColor="text1"/>
          <w:vertAlign w:val="subscript"/>
          <w:lang w:val="en-CA"/>
        </w:rPr>
        <w:t>100k</w:t>
      </w:r>
      <w:r w:rsidRPr="00D120AC">
        <w:rPr>
          <w:color w:val="000000" w:themeColor="text1"/>
          <w:lang w:val="en-CA"/>
        </w:rPr>
        <w:t>-based CSPE (Figure 3c and 3i-j). The SEM image shown in Figure 3c suggests a smooth surface with no appearance of PEO</w:t>
      </w:r>
      <w:r w:rsidRPr="00D120AC">
        <w:rPr>
          <w:color w:val="000000" w:themeColor="text1"/>
          <w:vertAlign w:val="subscript"/>
          <w:lang w:val="en-CA"/>
        </w:rPr>
        <w:t>100k</w:t>
      </w:r>
      <w:r w:rsidRPr="00D120AC">
        <w:rPr>
          <w:color w:val="000000" w:themeColor="text1"/>
          <w:lang w:val="en-CA"/>
        </w:rPr>
        <w:t xml:space="preserve"> spherulites. However, irregularly shaped, isolated PEO crystals, surrounded by the extensive t-CNF network within the amorphous PEO, </w:t>
      </w:r>
      <w:proofErr w:type="gramStart"/>
      <w:r w:rsidRPr="00D120AC">
        <w:rPr>
          <w:color w:val="000000" w:themeColor="text1"/>
          <w:lang w:val="en-CA"/>
        </w:rPr>
        <w:t>were observed</w:t>
      </w:r>
      <w:proofErr w:type="gramEnd"/>
      <w:r w:rsidRPr="00D120AC">
        <w:rPr>
          <w:color w:val="000000" w:themeColor="text1"/>
          <w:lang w:val="en-CA"/>
        </w:rPr>
        <w:t xml:space="preserve"> within the bulk of the CPSE (Figure 3j and 3i). It is important to note that the CNF network fluorescence does not overlap with PEO crystalline regions, suggesting that the suppression of crystal growth </w:t>
      </w:r>
      <w:proofErr w:type="gramStart"/>
      <w:r w:rsidRPr="00D120AC">
        <w:rPr>
          <w:color w:val="000000" w:themeColor="text1"/>
          <w:lang w:val="en-CA"/>
        </w:rPr>
        <w:t>is imparted</w:t>
      </w:r>
      <w:proofErr w:type="gramEnd"/>
      <w:r w:rsidRPr="00D120AC">
        <w:rPr>
          <w:color w:val="000000" w:themeColor="text1"/>
          <w:lang w:val="en-CA"/>
        </w:rPr>
        <w:t xml:space="preserve"> the strong fiber network that surrounds the nuclei at the beginning of the crystal growth. The addition of t-CNFs eliminates the appearance of LiClO</w:t>
      </w:r>
      <w:r w:rsidRPr="00D120AC">
        <w:rPr>
          <w:color w:val="000000" w:themeColor="text1"/>
          <w:vertAlign w:val="subscript"/>
          <w:lang w:val="en-CA"/>
        </w:rPr>
        <w:t>4</w:t>
      </w:r>
      <w:r w:rsidRPr="00D120AC">
        <w:rPr>
          <w:color w:val="000000" w:themeColor="text1"/>
          <w:lang w:val="en-CA"/>
        </w:rPr>
        <w:t xml:space="preserve"> aggregates under the reflectance mode (</w:t>
      </w:r>
      <w:r w:rsidRPr="00D120AC">
        <w:rPr>
          <w:lang w:val="en-CA"/>
        </w:rPr>
        <w:t>Figure S</w:t>
      </w:r>
      <w:r w:rsidR="00B2571A">
        <w:rPr>
          <w:lang w:val="en-CA"/>
        </w:rPr>
        <w:t>3</w:t>
      </w:r>
      <w:r w:rsidRPr="00D120AC">
        <w:rPr>
          <w:lang w:val="en-CA"/>
        </w:rPr>
        <w:t>, Supporting Information</w:t>
      </w:r>
      <w:r w:rsidRPr="00D120AC">
        <w:rPr>
          <w:color w:val="000000" w:themeColor="text1"/>
          <w:lang w:val="en-CA"/>
        </w:rPr>
        <w:t xml:space="preserve">). </w:t>
      </w:r>
      <w:r w:rsidR="00266C44">
        <w:rPr>
          <w:color w:val="000000" w:themeColor="text1"/>
          <w:lang w:val="en-CA"/>
        </w:rPr>
        <w:t>The disappearance of</w:t>
      </w:r>
      <w:r w:rsidR="00266C44" w:rsidRPr="00D120AC">
        <w:rPr>
          <w:color w:val="000000" w:themeColor="text1"/>
          <w:lang w:val="en-CA"/>
        </w:rPr>
        <w:t xml:space="preserve"> LiClO</w:t>
      </w:r>
      <w:r w:rsidR="00266C44" w:rsidRPr="00D120AC">
        <w:rPr>
          <w:color w:val="000000" w:themeColor="text1"/>
          <w:vertAlign w:val="subscript"/>
          <w:lang w:val="en-CA"/>
        </w:rPr>
        <w:t>4</w:t>
      </w:r>
      <w:r w:rsidR="00266C44" w:rsidRPr="00D120AC">
        <w:rPr>
          <w:color w:val="000000" w:themeColor="text1"/>
          <w:lang w:val="en-CA"/>
        </w:rPr>
        <w:t xml:space="preserve"> aggregates </w:t>
      </w:r>
      <w:r w:rsidR="00266C44">
        <w:rPr>
          <w:color w:val="000000" w:themeColor="text1"/>
          <w:lang w:val="en-CA"/>
        </w:rPr>
        <w:t xml:space="preserve">could be attributed to either enhanced </w:t>
      </w:r>
      <w:r w:rsidRPr="00D120AC">
        <w:rPr>
          <w:color w:val="000000" w:themeColor="text1"/>
          <w:lang w:val="en-CA"/>
        </w:rPr>
        <w:t xml:space="preserve">Li salt dissociation </w:t>
      </w:r>
      <w:r w:rsidR="00266C44">
        <w:rPr>
          <w:color w:val="000000" w:themeColor="text1"/>
          <w:lang w:val="en-CA"/>
        </w:rPr>
        <w:t xml:space="preserve">in presence of t-CNF, or </w:t>
      </w:r>
      <w:r w:rsidRPr="00D120AC">
        <w:rPr>
          <w:color w:val="000000" w:themeColor="text1"/>
          <w:lang w:val="en-CA"/>
        </w:rPr>
        <w:t>to the fact that decrease</w:t>
      </w:r>
      <w:r w:rsidR="00266C44">
        <w:rPr>
          <w:color w:val="000000" w:themeColor="text1"/>
          <w:lang w:val="en-CA"/>
        </w:rPr>
        <w:t xml:space="preserve"> in</w:t>
      </w:r>
      <w:r w:rsidRPr="00D120AC">
        <w:rPr>
          <w:color w:val="000000" w:themeColor="text1"/>
          <w:lang w:val="en-CA"/>
        </w:rPr>
        <w:t xml:space="preserve"> PEO crystallinity allows easier LiClO</w:t>
      </w:r>
      <w:r w:rsidRPr="00D120AC">
        <w:rPr>
          <w:color w:val="000000" w:themeColor="text1"/>
          <w:vertAlign w:val="subscript"/>
          <w:lang w:val="en-CA"/>
        </w:rPr>
        <w:t>4</w:t>
      </w:r>
      <w:r w:rsidRPr="00D120AC">
        <w:rPr>
          <w:color w:val="000000" w:themeColor="text1"/>
          <w:lang w:val="en-CA"/>
        </w:rPr>
        <w:t xml:space="preserve"> solvation in the increased volume of the amorphous PEO phase.</w:t>
      </w:r>
      <w:r w:rsidRPr="00D120AC">
        <w:rPr>
          <w:color w:val="000000" w:themeColor="text1"/>
          <w:vertAlign w:val="superscript"/>
          <w:lang w:val="en-CA"/>
        </w:rPr>
        <w:t>40</w:t>
      </w:r>
      <w:r w:rsidRPr="00D120AC">
        <w:rPr>
          <w:color w:val="000000" w:themeColor="text1"/>
          <w:lang w:val="en-CA"/>
        </w:rPr>
        <w:t xml:space="preserve"> It is important to note that with the LSCM resolution limit of ~200 nm, individual t-CNFs are not resolvable. However, the t-CNF network formation is only evident through fluorescent imaging (Figure 3i), while SEM provides no information on the distribution of t-CNF (Figure 3c). The morphological changes observed with the addition of t-CNFs to the CSPE based on PEO</w:t>
      </w:r>
      <w:r w:rsidRPr="00D120AC">
        <w:rPr>
          <w:color w:val="000000" w:themeColor="text1"/>
          <w:vertAlign w:val="subscript"/>
          <w:lang w:val="en-CA"/>
        </w:rPr>
        <w:t>100k</w:t>
      </w:r>
      <w:r w:rsidRPr="00D120AC">
        <w:rPr>
          <w:color w:val="000000" w:themeColor="text1"/>
          <w:lang w:val="en-CA"/>
        </w:rPr>
        <w:t xml:space="preserve"> </w:t>
      </w:r>
      <w:proofErr w:type="gramStart"/>
      <w:r w:rsidRPr="00D120AC">
        <w:rPr>
          <w:color w:val="000000" w:themeColor="text1"/>
          <w:lang w:val="en-CA"/>
        </w:rPr>
        <w:t>are in agreement</w:t>
      </w:r>
      <w:proofErr w:type="gramEnd"/>
      <w:r w:rsidRPr="00D120AC">
        <w:rPr>
          <w:color w:val="000000" w:themeColor="text1"/>
          <w:lang w:val="en-CA"/>
        </w:rPr>
        <w:t xml:space="preserve"> with the decrease in the degree of crystallinity (Figure 1a and 3c).</w:t>
      </w:r>
    </w:p>
    <w:p w14:paraId="65D6DADA" w14:textId="03204D57" w:rsidR="00872A4B" w:rsidRPr="00D120AC" w:rsidRDefault="00872A4B" w:rsidP="00872A4B">
      <w:pPr>
        <w:spacing w:line="480" w:lineRule="auto"/>
        <w:ind w:firstLine="720"/>
        <w:contextualSpacing/>
        <w:rPr>
          <w:color w:val="000000" w:themeColor="text1"/>
          <w:lang w:val="en-CA"/>
        </w:rPr>
      </w:pPr>
      <w:r w:rsidRPr="00D120AC">
        <w:rPr>
          <w:color w:val="000000" w:themeColor="text1"/>
          <w:lang w:val="en-CA"/>
        </w:rPr>
        <w:t>PEO</w:t>
      </w:r>
      <w:r w:rsidRPr="00D120AC">
        <w:rPr>
          <w:color w:val="000000" w:themeColor="text1"/>
          <w:vertAlign w:val="subscript"/>
          <w:lang w:val="en-CA"/>
        </w:rPr>
        <w:t>4k</w:t>
      </w:r>
      <w:r w:rsidRPr="00D120AC">
        <w:rPr>
          <w:color w:val="000000" w:themeColor="text1"/>
          <w:lang w:val="en-CA"/>
        </w:rPr>
        <w:t>-based CSPE morphological changes are significantly different than PEO</w:t>
      </w:r>
      <w:r w:rsidRPr="00D120AC">
        <w:rPr>
          <w:color w:val="000000" w:themeColor="text1"/>
          <w:vertAlign w:val="subscript"/>
          <w:lang w:val="en-CA"/>
        </w:rPr>
        <w:t>100k</w:t>
      </w:r>
      <w:r w:rsidRPr="00D120AC">
        <w:rPr>
          <w:color w:val="000000" w:themeColor="text1"/>
          <w:lang w:val="en-CA"/>
        </w:rPr>
        <w:t xml:space="preserve">-based CSPE. While DSC </w:t>
      </w:r>
      <w:r w:rsidR="00266C44">
        <w:rPr>
          <w:color w:val="000000" w:themeColor="text1"/>
          <w:lang w:val="en-CA"/>
        </w:rPr>
        <w:t xml:space="preserve">results </w:t>
      </w:r>
      <w:r w:rsidRPr="00D120AC">
        <w:rPr>
          <w:color w:val="000000" w:themeColor="text1"/>
          <w:lang w:val="en-CA"/>
        </w:rPr>
        <w:t xml:space="preserve">showed that the decrease in crystallinity (Figure 3d) was more significant </w:t>
      </w:r>
      <w:r w:rsidR="00266C44" w:rsidRPr="00D120AC">
        <w:rPr>
          <w:color w:val="000000" w:themeColor="text1"/>
          <w:lang w:val="en-CA"/>
        </w:rPr>
        <w:t>PEO</w:t>
      </w:r>
      <w:r w:rsidR="00266C44" w:rsidRPr="00D120AC">
        <w:rPr>
          <w:color w:val="000000" w:themeColor="text1"/>
          <w:vertAlign w:val="subscript"/>
          <w:lang w:val="en-CA"/>
        </w:rPr>
        <w:t>4k</w:t>
      </w:r>
      <w:r w:rsidR="00266C44" w:rsidRPr="00D120AC">
        <w:rPr>
          <w:color w:val="000000" w:themeColor="text1"/>
          <w:lang w:val="en-CA"/>
        </w:rPr>
        <w:t>-based CSPE</w:t>
      </w:r>
      <w:r w:rsidRPr="00D120AC">
        <w:rPr>
          <w:color w:val="000000" w:themeColor="text1"/>
          <w:lang w:val="en-CA"/>
        </w:rPr>
        <w:t xml:space="preserve">, </w:t>
      </w:r>
      <w:r w:rsidR="00266C44">
        <w:rPr>
          <w:color w:val="000000" w:themeColor="text1"/>
          <w:lang w:val="en-CA"/>
        </w:rPr>
        <w:t xml:space="preserve">polarization microscopy reveals </w:t>
      </w:r>
      <w:r w:rsidR="00BE6A6D">
        <w:rPr>
          <w:color w:val="000000" w:themeColor="text1"/>
          <w:lang w:val="en-CA"/>
        </w:rPr>
        <w:t>uniformly distributed</w:t>
      </w:r>
      <w:r w:rsidRPr="00D120AC">
        <w:rPr>
          <w:color w:val="000000" w:themeColor="text1"/>
          <w:lang w:val="en-CA"/>
        </w:rPr>
        <w:t xml:space="preserve">, crystalline-like domains </w:t>
      </w:r>
      <w:r w:rsidR="00266C44">
        <w:rPr>
          <w:color w:val="000000" w:themeColor="text1"/>
          <w:lang w:val="en-CA"/>
        </w:rPr>
        <w:t>(</w:t>
      </w:r>
      <w:r w:rsidRPr="00D120AC">
        <w:rPr>
          <w:color w:val="000000" w:themeColor="text1"/>
          <w:lang w:val="en-CA"/>
        </w:rPr>
        <w:t>Figure 3l</w:t>
      </w:r>
      <w:r w:rsidR="00266C44">
        <w:rPr>
          <w:color w:val="000000" w:themeColor="text1"/>
          <w:lang w:val="en-CA"/>
        </w:rPr>
        <w:t>)</w:t>
      </w:r>
      <w:r w:rsidRPr="00D120AC">
        <w:rPr>
          <w:color w:val="000000" w:themeColor="text1"/>
          <w:lang w:val="en-CA"/>
        </w:rPr>
        <w:t>. Note that the fold length of PEO</w:t>
      </w:r>
      <w:r w:rsidRPr="00D120AC">
        <w:rPr>
          <w:color w:val="000000" w:themeColor="text1"/>
          <w:vertAlign w:val="subscript"/>
          <w:lang w:val="en-CA"/>
        </w:rPr>
        <w:t>4k</w:t>
      </w:r>
      <w:r w:rsidRPr="00D120AC">
        <w:rPr>
          <w:color w:val="000000" w:themeColor="text1"/>
          <w:lang w:val="en-CA"/>
        </w:rPr>
        <w:t xml:space="preserve"> spherulites is significantly higher than that of PEO</w:t>
      </w:r>
      <w:r w:rsidRPr="00D120AC">
        <w:rPr>
          <w:color w:val="000000" w:themeColor="text1"/>
          <w:vertAlign w:val="subscript"/>
          <w:lang w:val="en-CA"/>
        </w:rPr>
        <w:t>100k</w:t>
      </w:r>
      <w:r w:rsidRPr="00D120AC">
        <w:rPr>
          <w:color w:val="000000" w:themeColor="text1"/>
          <w:lang w:val="en-CA"/>
        </w:rPr>
        <w:t xml:space="preserve"> (</w:t>
      </w:r>
      <w:r w:rsidRPr="00D120AC">
        <w:rPr>
          <w:lang w:val="en-CA"/>
        </w:rPr>
        <w:t>Figure S</w:t>
      </w:r>
      <w:r w:rsidR="00B2571A">
        <w:rPr>
          <w:lang w:val="en-CA"/>
        </w:rPr>
        <w:t>4</w:t>
      </w:r>
      <w:r w:rsidRPr="00D120AC">
        <w:rPr>
          <w:lang w:val="en-CA"/>
        </w:rPr>
        <w:t>, Supporting Information</w:t>
      </w:r>
      <w:r w:rsidRPr="00D120AC">
        <w:rPr>
          <w:color w:val="000000" w:themeColor="text1"/>
          <w:lang w:val="en-CA"/>
        </w:rPr>
        <w:t>) resulting in the spherulites visible to the naked eye (~1 mm diameter)</w:t>
      </w:r>
      <w:r w:rsidR="00B30C0D">
        <w:rPr>
          <w:color w:val="000000" w:themeColor="text1"/>
          <w:lang w:val="en-CA"/>
        </w:rPr>
        <w:t xml:space="preserve"> when t-CNF is not present in the system</w:t>
      </w:r>
      <w:r w:rsidRPr="00D120AC">
        <w:rPr>
          <w:color w:val="000000" w:themeColor="text1"/>
          <w:lang w:val="en-CA"/>
        </w:rPr>
        <w:t>. Closer inspection of the CNF fluorescence signal and PEO</w:t>
      </w:r>
      <w:r w:rsidRPr="00D120AC">
        <w:rPr>
          <w:color w:val="000000" w:themeColor="text1"/>
          <w:vertAlign w:val="subscript"/>
          <w:lang w:val="en-CA"/>
        </w:rPr>
        <w:t>4k</w:t>
      </w:r>
      <w:r w:rsidRPr="00D120AC">
        <w:rPr>
          <w:color w:val="000000" w:themeColor="text1"/>
          <w:lang w:val="en-CA"/>
        </w:rPr>
        <w:t xml:space="preserve"> crystalline regions (Figure 3k and 3l) indicates that, </w:t>
      </w:r>
      <w:proofErr w:type="gramStart"/>
      <w:r w:rsidRPr="00D120AC">
        <w:rPr>
          <w:color w:val="000000" w:themeColor="text1"/>
          <w:lang w:val="en-CA"/>
        </w:rPr>
        <w:t>with the exception of</w:t>
      </w:r>
      <w:proofErr w:type="gramEnd"/>
      <w:r w:rsidRPr="00D120AC">
        <w:rPr>
          <w:color w:val="000000" w:themeColor="text1"/>
          <w:lang w:val="en-CA"/>
        </w:rPr>
        <w:t xml:space="preserve"> spherulite centers (dark regions in Figure 3k), t-CNF </w:t>
      </w:r>
      <w:r w:rsidRPr="00D120AC">
        <w:rPr>
          <w:color w:val="000000" w:themeColor="text1"/>
          <w:lang w:val="en-CA"/>
        </w:rPr>
        <w:lastRenderedPageBreak/>
        <w:t xml:space="preserve">are uniformly distributed within </w:t>
      </w:r>
      <w:r w:rsidR="00746D15">
        <w:rPr>
          <w:color w:val="000000" w:themeColor="text1"/>
          <w:lang w:val="en-CA"/>
        </w:rPr>
        <w:t>spherulites</w:t>
      </w:r>
      <w:r w:rsidR="00746D15" w:rsidRPr="00D120AC">
        <w:rPr>
          <w:color w:val="000000" w:themeColor="text1"/>
          <w:lang w:val="en-CA"/>
        </w:rPr>
        <w:t xml:space="preserve"> </w:t>
      </w:r>
      <w:r w:rsidRPr="00D120AC">
        <w:rPr>
          <w:color w:val="000000" w:themeColor="text1"/>
          <w:lang w:val="en-CA"/>
        </w:rPr>
        <w:t xml:space="preserve">and oriented in the direction of </w:t>
      </w:r>
      <w:r w:rsidR="00746D15">
        <w:rPr>
          <w:color w:val="000000" w:themeColor="text1"/>
          <w:lang w:val="en-CA"/>
        </w:rPr>
        <w:t>their</w:t>
      </w:r>
      <w:r w:rsidR="00746D15" w:rsidRPr="00D120AC">
        <w:rPr>
          <w:color w:val="000000" w:themeColor="text1"/>
          <w:lang w:val="en-CA"/>
        </w:rPr>
        <w:t xml:space="preserve"> </w:t>
      </w:r>
      <w:r w:rsidRPr="00D120AC">
        <w:rPr>
          <w:color w:val="000000" w:themeColor="text1"/>
          <w:lang w:val="en-CA"/>
        </w:rPr>
        <w:t xml:space="preserve">growth. The morphological investigation suggests the nuclei of spherulites </w:t>
      </w:r>
      <w:proofErr w:type="gramStart"/>
      <w:r w:rsidRPr="00D120AC">
        <w:rPr>
          <w:color w:val="000000" w:themeColor="text1"/>
          <w:lang w:val="en-CA"/>
        </w:rPr>
        <w:t>are tightly packed</w:t>
      </w:r>
      <w:proofErr w:type="gramEnd"/>
      <w:r w:rsidRPr="00D120AC">
        <w:rPr>
          <w:color w:val="000000" w:themeColor="text1"/>
          <w:lang w:val="en-CA"/>
        </w:rPr>
        <w:t xml:space="preserve"> with PEO</w:t>
      </w:r>
      <w:r w:rsidRPr="00D120AC">
        <w:rPr>
          <w:color w:val="000000" w:themeColor="text1"/>
          <w:vertAlign w:val="subscript"/>
          <w:lang w:val="en-CA"/>
        </w:rPr>
        <w:t>4k</w:t>
      </w:r>
      <w:r w:rsidRPr="00D120AC">
        <w:rPr>
          <w:color w:val="000000" w:themeColor="text1"/>
          <w:lang w:val="en-CA"/>
        </w:rPr>
        <w:t xml:space="preserve"> chains, while their further growth allows for the incorporation of t-CNFs within spherulites periphery. The decrease in degree of crystallinity measured by DSC confirms that the spherulites are of “low quality” and have amorphous regions enclosed between their widely spaced crystalline lamellas. These differences in the mechanism of crystallinity suppression in PEO with varying chain length are significant as the structural features of electrolytes directly affects their performance in terms of conductivity and long-term stability.</w:t>
      </w:r>
    </w:p>
    <w:p w14:paraId="7E96C2B8" w14:textId="1C492D7F" w:rsidR="00872A4B" w:rsidRPr="00D120AC" w:rsidRDefault="00872A4B" w:rsidP="00872A4B">
      <w:pPr>
        <w:spacing w:line="480" w:lineRule="auto"/>
        <w:ind w:firstLine="720"/>
        <w:contextualSpacing/>
        <w:rPr>
          <w:color w:val="000000" w:themeColor="text1"/>
          <w:lang w:val="en-CA"/>
        </w:rPr>
      </w:pPr>
      <w:r w:rsidRPr="00D120AC">
        <w:rPr>
          <w:color w:val="000000" w:themeColor="text1"/>
          <w:lang w:val="en-CA"/>
        </w:rPr>
        <w:t xml:space="preserve">Another consequence of differences in suppression of crystal growth is that t-CNFs </w:t>
      </w:r>
      <w:proofErr w:type="gramStart"/>
      <w:r w:rsidRPr="00D120AC">
        <w:rPr>
          <w:color w:val="000000" w:themeColor="text1"/>
          <w:lang w:val="en-CA"/>
        </w:rPr>
        <w:t>are better dispersed</w:t>
      </w:r>
      <w:proofErr w:type="gramEnd"/>
      <w:r w:rsidRPr="00D120AC">
        <w:rPr>
          <w:color w:val="000000" w:themeColor="text1"/>
          <w:lang w:val="en-CA"/>
        </w:rPr>
        <w:t xml:space="preserve"> in PEO</w:t>
      </w:r>
      <w:r w:rsidRPr="00D120AC">
        <w:rPr>
          <w:color w:val="000000" w:themeColor="text1"/>
          <w:vertAlign w:val="subscript"/>
          <w:lang w:val="en-CA"/>
        </w:rPr>
        <w:t>4k</w:t>
      </w:r>
      <w:r w:rsidRPr="00D120AC">
        <w:rPr>
          <w:color w:val="000000" w:themeColor="text1"/>
          <w:lang w:val="en-CA"/>
        </w:rPr>
        <w:t xml:space="preserve"> (seen by a uniform field of fluorescence in Figure 3k) compared to t-CNFs bundles observed in PEO</w:t>
      </w:r>
      <w:r w:rsidRPr="00D120AC">
        <w:rPr>
          <w:color w:val="000000" w:themeColor="text1"/>
          <w:vertAlign w:val="subscript"/>
          <w:lang w:val="en-CA"/>
        </w:rPr>
        <w:t xml:space="preserve">100k </w:t>
      </w:r>
      <w:r w:rsidRPr="00D120AC">
        <w:rPr>
          <w:color w:val="000000" w:themeColor="text1"/>
          <w:lang w:val="en-CA"/>
        </w:rPr>
        <w:t xml:space="preserve">(Figure 3i). </w:t>
      </w:r>
      <w:r w:rsidR="00697AD3">
        <w:rPr>
          <w:color w:val="000000" w:themeColor="text1"/>
          <w:lang w:val="en-CA"/>
        </w:rPr>
        <w:t xml:space="preserve">This difference in the extent of t-CNF dispersion could </w:t>
      </w:r>
      <w:proofErr w:type="gramStart"/>
      <w:r w:rsidR="00697AD3">
        <w:rPr>
          <w:color w:val="000000" w:themeColor="text1"/>
          <w:lang w:val="en-CA"/>
        </w:rPr>
        <w:t>be thermodynamically or kinetically driven</w:t>
      </w:r>
      <w:proofErr w:type="gramEnd"/>
      <w:r w:rsidR="00697AD3">
        <w:rPr>
          <w:color w:val="000000" w:themeColor="text1"/>
          <w:lang w:val="en-CA"/>
        </w:rPr>
        <w:t xml:space="preserve">. In </w:t>
      </w:r>
      <w:r w:rsidRPr="00D120AC">
        <w:rPr>
          <w:color w:val="000000" w:themeColor="text1"/>
          <w:lang w:val="en-CA"/>
        </w:rPr>
        <w:t>PEO</w:t>
      </w:r>
      <w:r w:rsidRPr="00D120AC">
        <w:rPr>
          <w:color w:val="000000" w:themeColor="text1"/>
          <w:vertAlign w:val="subscript"/>
          <w:lang w:val="en-CA"/>
        </w:rPr>
        <w:t>4k</w:t>
      </w:r>
      <w:r w:rsidRPr="00D120AC">
        <w:rPr>
          <w:color w:val="000000" w:themeColor="text1"/>
          <w:lang w:val="en-CA"/>
        </w:rPr>
        <w:t xml:space="preserve"> </w:t>
      </w:r>
      <w:r w:rsidR="00697AD3">
        <w:rPr>
          <w:color w:val="000000" w:themeColor="text1"/>
          <w:lang w:val="en-CA"/>
        </w:rPr>
        <w:t>system, due to the higher number of</w:t>
      </w:r>
      <w:r w:rsidR="00697AD3" w:rsidRPr="00D120AC">
        <w:rPr>
          <w:color w:val="000000" w:themeColor="text1"/>
          <w:lang w:val="en-CA"/>
        </w:rPr>
        <w:t xml:space="preserve"> hydroxyl terminal groups on PEO</w:t>
      </w:r>
      <w:r w:rsidR="00697AD3" w:rsidRPr="00D120AC">
        <w:rPr>
          <w:color w:val="000000" w:themeColor="text1"/>
          <w:vertAlign w:val="subscript"/>
          <w:lang w:val="en-CA"/>
        </w:rPr>
        <w:t>4k</w:t>
      </w:r>
      <w:r w:rsidR="00697AD3" w:rsidRPr="00D120AC">
        <w:rPr>
          <w:color w:val="000000" w:themeColor="text1"/>
          <w:lang w:val="en-CA"/>
        </w:rPr>
        <w:t xml:space="preserve"> chains</w:t>
      </w:r>
      <w:r w:rsidR="00697AD3">
        <w:rPr>
          <w:color w:val="000000" w:themeColor="text1"/>
          <w:lang w:val="en-CA"/>
        </w:rPr>
        <w:t>, there are approximately twenty times more sites for hydrogen bonding between PEO</w:t>
      </w:r>
      <w:r w:rsidR="00697AD3" w:rsidRPr="00C95709">
        <w:rPr>
          <w:color w:val="000000" w:themeColor="text1"/>
          <w:vertAlign w:val="subscript"/>
          <w:lang w:val="en-CA"/>
        </w:rPr>
        <w:t>4k</w:t>
      </w:r>
      <w:r w:rsidR="00697AD3">
        <w:rPr>
          <w:color w:val="000000" w:themeColor="text1"/>
          <w:lang w:val="en-CA"/>
        </w:rPr>
        <w:t xml:space="preserve"> and t-CNF in comparison to the PEO</w:t>
      </w:r>
      <w:r w:rsidR="00697AD3" w:rsidRPr="00C95709">
        <w:rPr>
          <w:color w:val="000000" w:themeColor="text1"/>
          <w:vertAlign w:val="subscript"/>
          <w:lang w:val="en-CA"/>
        </w:rPr>
        <w:t>100k</w:t>
      </w:r>
      <w:r w:rsidR="00697AD3">
        <w:rPr>
          <w:color w:val="000000" w:themeColor="text1"/>
          <w:lang w:val="en-CA"/>
        </w:rPr>
        <w:t xml:space="preserve"> system. At the same time, PEO</w:t>
      </w:r>
      <w:r w:rsidR="00697AD3" w:rsidRPr="00C95709">
        <w:rPr>
          <w:color w:val="000000" w:themeColor="text1"/>
          <w:vertAlign w:val="subscript"/>
          <w:lang w:val="en-CA"/>
        </w:rPr>
        <w:t>100k</w:t>
      </w:r>
      <w:r w:rsidR="00697AD3">
        <w:rPr>
          <w:color w:val="000000" w:themeColor="text1"/>
          <w:lang w:val="en-CA"/>
        </w:rPr>
        <w:t xml:space="preserve"> solution has significantly higher viscosity, which could hinder t-CNF dispersion.</w:t>
      </w:r>
      <w:r w:rsidRPr="00D120AC">
        <w:rPr>
          <w:color w:val="000000" w:themeColor="text1"/>
          <w:lang w:val="en-CA"/>
        </w:rPr>
        <w:t xml:space="preserve"> To investigate this further, we probed the viscoelastic properties of pure PEO solutions and the changes that result with the introduction of LiClO</w:t>
      </w:r>
      <w:r w:rsidRPr="00D120AC">
        <w:rPr>
          <w:color w:val="000000" w:themeColor="text1"/>
          <w:vertAlign w:val="subscript"/>
          <w:lang w:val="en-CA"/>
        </w:rPr>
        <w:t>4</w:t>
      </w:r>
      <w:r w:rsidRPr="00D120AC">
        <w:rPr>
          <w:color w:val="000000" w:themeColor="text1"/>
          <w:lang w:val="en-CA"/>
        </w:rPr>
        <w:t xml:space="preserve"> and t-CNF. As expected, due to the difference in polymer chain length, t-CNF/PEO</w:t>
      </w:r>
      <w:r w:rsidRPr="00D120AC">
        <w:rPr>
          <w:color w:val="000000" w:themeColor="text1"/>
          <w:vertAlign w:val="subscript"/>
          <w:lang w:val="en-CA"/>
        </w:rPr>
        <w:t>4k</w:t>
      </w:r>
      <w:r w:rsidRPr="00D120AC">
        <w:rPr>
          <w:color w:val="000000" w:themeColor="text1"/>
          <w:lang w:val="en-CA"/>
        </w:rPr>
        <w:t xml:space="preserve"> solution has a much lower storage (G') and loss (G'') modulus (with G' below the rheometer’s detection limit) than the PEO</w:t>
      </w:r>
      <w:r w:rsidRPr="00D120AC">
        <w:rPr>
          <w:color w:val="000000" w:themeColor="text1"/>
          <w:vertAlign w:val="subscript"/>
          <w:lang w:val="en-CA"/>
        </w:rPr>
        <w:t>100k</w:t>
      </w:r>
      <w:r w:rsidRPr="00D120AC">
        <w:rPr>
          <w:color w:val="000000" w:themeColor="text1"/>
          <w:lang w:val="en-CA"/>
        </w:rPr>
        <w:t xml:space="preserve"> solution. However, upon the addition of t-CNFs and LiClO</w:t>
      </w:r>
      <w:r w:rsidRPr="00D120AC">
        <w:rPr>
          <w:color w:val="000000" w:themeColor="text1"/>
          <w:vertAlign w:val="subscript"/>
          <w:lang w:val="en-CA"/>
        </w:rPr>
        <w:t>4</w:t>
      </w:r>
      <w:r w:rsidRPr="00D120AC">
        <w:rPr>
          <w:color w:val="000000" w:themeColor="text1"/>
          <w:lang w:val="en-CA"/>
        </w:rPr>
        <w:t>, both dispersions have similar G' and G</w:t>
      </w:r>
      <w:r w:rsidR="005416DE" w:rsidRPr="00D120AC">
        <w:rPr>
          <w:color w:val="000000" w:themeColor="text1"/>
          <w:lang w:val="en-CA"/>
        </w:rPr>
        <w:t>''</w:t>
      </w:r>
      <w:r w:rsidRPr="00D120AC">
        <w:rPr>
          <w:color w:val="000000" w:themeColor="text1"/>
          <w:lang w:val="en-CA"/>
        </w:rPr>
        <w:t xml:space="preserve"> in their linear viscoelastic region (G' and G'' are independent of applied strain). The difference in the relative increase of G' and G'' in two systems indicates that </w:t>
      </w:r>
      <w:r w:rsidR="00697AD3">
        <w:rPr>
          <w:color w:val="000000" w:themeColor="text1"/>
          <w:lang w:val="en-CA"/>
        </w:rPr>
        <w:t xml:space="preserve">the </w:t>
      </w:r>
      <w:r w:rsidR="00310D76">
        <w:rPr>
          <w:color w:val="000000" w:themeColor="text1"/>
          <w:lang w:val="en-CA"/>
        </w:rPr>
        <w:t xml:space="preserve">kinetic effect is </w:t>
      </w:r>
      <w:proofErr w:type="gramStart"/>
      <w:r w:rsidR="00310D76">
        <w:rPr>
          <w:color w:val="000000" w:themeColor="text1"/>
          <w:lang w:val="en-CA"/>
        </w:rPr>
        <w:t>likely dominant</w:t>
      </w:r>
      <w:proofErr w:type="gramEnd"/>
      <w:r w:rsidR="00310D76">
        <w:rPr>
          <w:color w:val="000000" w:themeColor="text1"/>
          <w:lang w:val="en-CA"/>
        </w:rPr>
        <w:t>, as the increased number of hydrogen bonds alone, would not be sufficient to produce this rheological response</w:t>
      </w:r>
      <w:r w:rsidR="00215324">
        <w:rPr>
          <w:color w:val="000000" w:themeColor="text1"/>
          <w:lang w:val="en-CA"/>
        </w:rPr>
        <w:t>.</w:t>
      </w:r>
      <w:r w:rsidRPr="00D120AC">
        <w:rPr>
          <w:color w:val="000000" w:themeColor="text1"/>
          <w:lang w:val="en-CA"/>
        </w:rPr>
        <w:t xml:space="preserve"> Further insights into the modulation of rheological properties arising from the introduction of t-CNFs can </w:t>
      </w:r>
      <w:proofErr w:type="gramStart"/>
      <w:r w:rsidRPr="00D120AC">
        <w:rPr>
          <w:color w:val="000000" w:themeColor="text1"/>
          <w:lang w:val="en-CA"/>
        </w:rPr>
        <w:t>be gained</w:t>
      </w:r>
      <w:proofErr w:type="gramEnd"/>
      <w:r w:rsidRPr="00D120AC">
        <w:rPr>
          <w:color w:val="000000" w:themeColor="text1"/>
          <w:lang w:val="en-CA"/>
        </w:rPr>
        <w:t xml:space="preserve"> by comparing the critical strain </w:t>
      </w:r>
      <w:r w:rsidRPr="00D120AC">
        <w:rPr>
          <w:color w:val="000000" w:themeColor="text1"/>
          <w:lang w:val="en-CA"/>
        </w:rPr>
        <w:lastRenderedPageBreak/>
        <w:t>between the two systems. As seen from Figure 4 the critical strain for PEO</w:t>
      </w:r>
      <w:r w:rsidRPr="00D120AC">
        <w:rPr>
          <w:color w:val="000000" w:themeColor="text1"/>
          <w:vertAlign w:val="subscript"/>
          <w:lang w:val="en-CA"/>
        </w:rPr>
        <w:t>100k</w:t>
      </w:r>
      <w:r w:rsidRPr="00D120AC">
        <w:rPr>
          <w:color w:val="000000" w:themeColor="text1"/>
          <w:lang w:val="en-CA"/>
        </w:rPr>
        <w:t>+LiClO</w:t>
      </w:r>
      <w:r w:rsidRPr="00D120AC">
        <w:rPr>
          <w:color w:val="000000" w:themeColor="text1"/>
          <w:vertAlign w:val="subscript"/>
          <w:lang w:val="en-CA"/>
        </w:rPr>
        <w:t>4</w:t>
      </w:r>
      <w:r w:rsidRPr="00D120AC">
        <w:rPr>
          <w:color w:val="000000" w:themeColor="text1"/>
          <w:lang w:val="en-CA"/>
        </w:rPr>
        <w:t xml:space="preserve">(t-CNF20wt%) system is almost one order of magnitude larger. The above results suggest that there is an interplay between </w:t>
      </w:r>
      <w:r w:rsidR="00310D76">
        <w:rPr>
          <w:color w:val="000000" w:themeColor="text1"/>
          <w:lang w:val="en-CA"/>
        </w:rPr>
        <w:t xml:space="preserve">the extent of </w:t>
      </w:r>
      <w:r w:rsidRPr="00D120AC">
        <w:rPr>
          <w:color w:val="000000" w:themeColor="text1"/>
          <w:lang w:val="en-CA"/>
        </w:rPr>
        <w:t xml:space="preserve">t-CNF </w:t>
      </w:r>
      <w:r w:rsidR="00310D76">
        <w:rPr>
          <w:color w:val="000000" w:themeColor="text1"/>
          <w:lang w:val="en-CA"/>
        </w:rPr>
        <w:t xml:space="preserve">dispersion </w:t>
      </w:r>
      <w:r w:rsidRPr="00D120AC">
        <w:rPr>
          <w:color w:val="000000" w:themeColor="text1"/>
          <w:lang w:val="en-CA"/>
        </w:rPr>
        <w:t>and the resulting network strength. The enhanced dispersion of t-CNF</w:t>
      </w:r>
      <w:r w:rsidR="00B30C0D">
        <w:rPr>
          <w:color w:val="000000" w:themeColor="text1"/>
          <w:lang w:val="en-CA"/>
        </w:rPr>
        <w:t xml:space="preserve"> in PEO</w:t>
      </w:r>
      <w:r w:rsidR="00B30C0D" w:rsidRPr="00C95709">
        <w:rPr>
          <w:color w:val="000000" w:themeColor="text1"/>
          <w:vertAlign w:val="subscript"/>
          <w:lang w:val="en-CA"/>
        </w:rPr>
        <w:t>4k</w:t>
      </w:r>
      <w:r w:rsidR="00B30C0D">
        <w:rPr>
          <w:color w:val="000000" w:themeColor="text1"/>
          <w:lang w:val="en-CA"/>
        </w:rPr>
        <w:t xml:space="preserve"> system leads to the </w:t>
      </w:r>
      <w:r w:rsidRPr="00D120AC">
        <w:rPr>
          <w:color w:val="000000" w:themeColor="text1"/>
          <w:lang w:val="en-CA"/>
        </w:rPr>
        <w:t>equivalently strong network at rest in the PEO</w:t>
      </w:r>
      <w:r w:rsidRPr="00D120AC">
        <w:rPr>
          <w:color w:val="000000" w:themeColor="text1"/>
          <w:vertAlign w:val="subscript"/>
          <w:lang w:val="en-CA"/>
        </w:rPr>
        <w:t>4k</w:t>
      </w:r>
      <w:r w:rsidRPr="00D120AC">
        <w:rPr>
          <w:color w:val="000000" w:themeColor="text1"/>
          <w:lang w:val="en-CA"/>
        </w:rPr>
        <w:t xml:space="preserve"> system. However, </w:t>
      </w:r>
      <w:r w:rsidR="00B30C0D">
        <w:rPr>
          <w:color w:val="000000" w:themeColor="text1"/>
          <w:lang w:val="en-CA"/>
        </w:rPr>
        <w:t>the addition of</w:t>
      </w:r>
      <w:r w:rsidRPr="00D120AC">
        <w:rPr>
          <w:color w:val="000000" w:themeColor="text1"/>
          <w:lang w:val="en-CA"/>
        </w:rPr>
        <w:t xml:space="preserve"> t-CNF </w:t>
      </w:r>
      <w:r w:rsidR="00310D76">
        <w:rPr>
          <w:color w:val="000000" w:themeColor="text1"/>
          <w:lang w:val="en-CA"/>
        </w:rPr>
        <w:t xml:space="preserve">to the </w:t>
      </w:r>
      <w:r w:rsidRPr="00D120AC">
        <w:rPr>
          <w:color w:val="000000" w:themeColor="text1"/>
          <w:lang w:val="en-CA"/>
        </w:rPr>
        <w:t>PEO</w:t>
      </w:r>
      <w:r w:rsidRPr="00D120AC">
        <w:rPr>
          <w:color w:val="000000" w:themeColor="text1"/>
          <w:vertAlign w:val="subscript"/>
          <w:lang w:val="en-CA"/>
        </w:rPr>
        <w:t>100k</w:t>
      </w:r>
      <w:r w:rsidRPr="00D120AC">
        <w:rPr>
          <w:color w:val="000000" w:themeColor="text1"/>
          <w:lang w:val="en-CA"/>
        </w:rPr>
        <w:t xml:space="preserve"> </w:t>
      </w:r>
      <w:r w:rsidR="00B30C0D">
        <w:rPr>
          <w:color w:val="000000" w:themeColor="text1"/>
          <w:lang w:val="en-CA"/>
        </w:rPr>
        <w:t>system</w:t>
      </w:r>
      <w:r w:rsidR="00885E54">
        <w:rPr>
          <w:color w:val="000000" w:themeColor="text1"/>
          <w:lang w:val="en-CA"/>
        </w:rPr>
        <w:t xml:space="preserve"> </w:t>
      </w:r>
      <w:r w:rsidRPr="00D120AC">
        <w:rPr>
          <w:color w:val="000000" w:themeColor="text1"/>
          <w:lang w:val="en-CA"/>
        </w:rPr>
        <w:t>results in a more bundled network of t-CNF and entangled PEO</w:t>
      </w:r>
      <w:r w:rsidRPr="00D120AC">
        <w:rPr>
          <w:color w:val="000000" w:themeColor="text1"/>
          <w:vertAlign w:val="subscript"/>
          <w:lang w:val="en-CA"/>
        </w:rPr>
        <w:t>100k</w:t>
      </w:r>
      <w:r w:rsidRPr="00D120AC">
        <w:rPr>
          <w:color w:val="000000" w:themeColor="text1"/>
          <w:lang w:val="en-CA"/>
        </w:rPr>
        <w:t xml:space="preserve"> chains with larger relaxation time, which consequently leads to a higher resistance to strain.</w:t>
      </w:r>
      <w:r w:rsidRPr="00D120AC">
        <w:rPr>
          <w:color w:val="000000" w:themeColor="text1"/>
          <w:vertAlign w:val="superscript"/>
          <w:lang w:val="en-CA"/>
        </w:rPr>
        <w:t>4</w:t>
      </w:r>
      <w:r w:rsidR="00B15BDB">
        <w:rPr>
          <w:color w:val="000000" w:themeColor="text1"/>
          <w:vertAlign w:val="superscript"/>
          <w:lang w:val="en-CA"/>
        </w:rPr>
        <w:t>8</w:t>
      </w:r>
    </w:p>
    <w:p w14:paraId="78B911C3" w14:textId="77777777" w:rsidR="00872A4B" w:rsidRPr="00D120AC" w:rsidRDefault="00872A4B" w:rsidP="00872A4B">
      <w:pPr>
        <w:spacing w:line="480" w:lineRule="auto"/>
        <w:rPr>
          <w:color w:val="000000" w:themeColor="text1"/>
          <w:lang w:val="en-CA"/>
        </w:rPr>
      </w:pPr>
      <w:r w:rsidRPr="00D120AC">
        <w:rPr>
          <w:b/>
          <w:noProof/>
          <w:color w:val="000000" w:themeColor="text1"/>
          <w:lang w:val="en-CA" w:eastAsia="en-CA"/>
        </w:rPr>
        <w:drawing>
          <wp:inline distT="0" distB="0" distL="0" distR="0" wp14:anchorId="26BA6760" wp14:editId="27B239D7">
            <wp:extent cx="2842140" cy="2867025"/>
            <wp:effectExtent l="0" t="0" r="0" b="0"/>
            <wp:docPr id="18" name="Picture 18" descr="C:\Users\Beavers\Desktop\PAPER FOR PUBLICATION AND GUIDELINES\FIGURES\Tif\Fig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vers\Desktop\PAPER FOR PUBLICATION AND GUIDELINES\FIGURES\Tif\Fig3a.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926" cy="2893036"/>
                    </a:xfrm>
                    <a:prstGeom prst="rect">
                      <a:avLst/>
                    </a:prstGeom>
                    <a:noFill/>
                    <a:ln>
                      <a:noFill/>
                    </a:ln>
                  </pic:spPr>
                </pic:pic>
              </a:graphicData>
            </a:graphic>
          </wp:inline>
        </w:drawing>
      </w:r>
      <w:r w:rsidRPr="00D120AC">
        <w:rPr>
          <w:b/>
          <w:noProof/>
          <w:color w:val="000000" w:themeColor="text1"/>
          <w:lang w:val="en-CA" w:eastAsia="en-CA"/>
        </w:rPr>
        <w:drawing>
          <wp:inline distT="0" distB="0" distL="0" distR="0" wp14:anchorId="5A5017B5" wp14:editId="64CA4593">
            <wp:extent cx="2838450" cy="2848162"/>
            <wp:effectExtent l="0" t="0" r="0" b="9525"/>
            <wp:docPr id="19" name="Picture 19" descr="C:\Users\Beavers\Desktop\PAPER FOR PUBLICATION AND GUIDELINES\FIGURES\Tif\Fig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vers\Desktop\PAPER FOR PUBLICATION AND GUIDELINES\FIGURES\Tif\Fig3b.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9885" cy="2869670"/>
                    </a:xfrm>
                    <a:prstGeom prst="rect">
                      <a:avLst/>
                    </a:prstGeom>
                    <a:noFill/>
                    <a:ln>
                      <a:noFill/>
                    </a:ln>
                  </pic:spPr>
                </pic:pic>
              </a:graphicData>
            </a:graphic>
          </wp:inline>
        </w:drawing>
      </w:r>
    </w:p>
    <w:p w14:paraId="6EEB6F08" w14:textId="77777777" w:rsidR="00872A4B" w:rsidRPr="00D120AC" w:rsidRDefault="00872A4B" w:rsidP="00872A4B">
      <w:pPr>
        <w:rPr>
          <w:color w:val="000000" w:themeColor="text1"/>
          <w:lang w:val="en-CA"/>
        </w:rPr>
      </w:pPr>
      <w:r w:rsidRPr="00D120AC">
        <w:rPr>
          <w:b/>
          <w:color w:val="000000" w:themeColor="text1"/>
          <w:lang w:val="en-CA"/>
        </w:rPr>
        <w:t>Figure 4.</w:t>
      </w:r>
      <w:r w:rsidRPr="00D120AC">
        <w:rPr>
          <w:color w:val="000000" w:themeColor="text1"/>
          <w:lang w:val="en-CA"/>
        </w:rPr>
        <w:t xml:space="preserve"> Storage G' (filled symbols) and loss G'' (unfilled symbols) modulus versus strain sweep of a) PEO solutions and t-CNFs dispersion in water and b) CSPEs dispersion in water.</w:t>
      </w:r>
    </w:p>
    <w:p w14:paraId="000E4DB9" w14:textId="77777777" w:rsidR="006C06F0" w:rsidRDefault="006C06F0" w:rsidP="00872A4B">
      <w:pPr>
        <w:spacing w:line="480" w:lineRule="auto"/>
        <w:ind w:firstLine="709"/>
        <w:rPr>
          <w:color w:val="000000" w:themeColor="text1"/>
          <w:lang w:val="en-CA"/>
        </w:rPr>
      </w:pPr>
    </w:p>
    <w:p w14:paraId="019EB3EA" w14:textId="4DD05FD8" w:rsidR="00872A4B" w:rsidRPr="001D7D77" w:rsidRDefault="00872A4B" w:rsidP="001D7D77">
      <w:pPr>
        <w:spacing w:line="480" w:lineRule="auto"/>
        <w:ind w:firstLine="709"/>
        <w:rPr>
          <w:color w:val="000000" w:themeColor="text1"/>
          <w:lang w:val="en-CA"/>
        </w:rPr>
      </w:pPr>
      <w:r w:rsidRPr="006C474C">
        <w:rPr>
          <w:color w:val="000000" w:themeColor="text1"/>
          <w:lang w:val="en-CA"/>
        </w:rPr>
        <w:t xml:space="preserve">Figure 5 depicts ionic conductivity of the CSPEs with different </w:t>
      </w:r>
      <w:r w:rsidR="00937C65" w:rsidRPr="006C474C">
        <w:rPr>
          <w:color w:val="000000" w:themeColor="text1"/>
          <w:lang w:val="en-CA"/>
        </w:rPr>
        <w:t>PEO MW</w:t>
      </w:r>
      <w:r w:rsidRPr="006C474C">
        <w:rPr>
          <w:color w:val="000000" w:themeColor="text1"/>
          <w:lang w:val="en-CA"/>
        </w:rPr>
        <w:t xml:space="preserve"> as a function of temperature during cooling cycles. Ionic conductivity response to temperature change suggests an Arrhenius behaviour of the electrolyte conductivity in a temperature range from 25 to 100 ºC.</w:t>
      </w:r>
      <w:r w:rsidR="001D7D77" w:rsidRPr="006C474C">
        <w:rPr>
          <w:color w:val="000000" w:themeColor="text1"/>
          <w:lang w:val="en-CA"/>
        </w:rPr>
        <w:t xml:space="preserve"> </w:t>
      </w:r>
      <w:bookmarkStart w:id="1" w:name="_Hlk118144742"/>
      <w:r w:rsidRPr="006C474C">
        <w:rPr>
          <w:lang w:val="en-CA"/>
        </w:rPr>
        <w:t>In the temperature range below the melting point of PEO, all tested CSPEs exhibit significantly lower ionic conductivity than pure PEO + LiClO</w:t>
      </w:r>
      <w:r w:rsidRPr="006C474C">
        <w:rPr>
          <w:vertAlign w:val="subscript"/>
          <w:lang w:val="en-CA"/>
        </w:rPr>
        <w:t>4</w:t>
      </w:r>
      <w:r w:rsidRPr="006C474C">
        <w:rPr>
          <w:lang w:val="en-CA"/>
        </w:rPr>
        <w:t xml:space="preserve"> samples. The t-CNF/PEO</w:t>
      </w:r>
      <w:r w:rsidRPr="006C474C">
        <w:rPr>
          <w:vertAlign w:val="subscript"/>
          <w:lang w:val="en-CA"/>
        </w:rPr>
        <w:t>100k</w:t>
      </w:r>
      <w:r w:rsidRPr="006C474C">
        <w:rPr>
          <w:lang w:val="en-CA"/>
        </w:rPr>
        <w:t xml:space="preserve">-based CSPE with the highest t-CNF loading of 33 wt.% exhibits the lowest ionic conductivity </w:t>
      </w:r>
      <w:r w:rsidRPr="006C474C">
        <w:rPr>
          <w:lang w:val="en-CA"/>
        </w:rPr>
        <w:lastRenderedPageBreak/>
        <w:t>among all the tested electrolytes (</w:t>
      </w:r>
      <w:r w:rsidR="00C4670D" w:rsidRPr="006C474C">
        <w:rPr>
          <w:lang w:val="en-CA"/>
        </w:rPr>
        <w:t>Figure S</w:t>
      </w:r>
      <w:r w:rsidR="00B2571A" w:rsidRPr="006C474C">
        <w:rPr>
          <w:lang w:val="en-CA"/>
        </w:rPr>
        <w:t>5</w:t>
      </w:r>
      <w:r w:rsidR="00C4670D" w:rsidRPr="006C474C">
        <w:rPr>
          <w:lang w:val="en-CA"/>
        </w:rPr>
        <w:t>, Supporting Information</w:t>
      </w:r>
      <w:r w:rsidRPr="006C474C">
        <w:rPr>
          <w:lang w:val="en-CA"/>
        </w:rPr>
        <w:t>). Compared</w:t>
      </w:r>
      <w:r w:rsidRPr="00D120AC">
        <w:rPr>
          <w:lang w:val="en-CA"/>
        </w:rPr>
        <w:t xml:space="preserve"> to PEO neat t-CNF has significantly lower ionic conductivity of 5.5</w:t>
      </w:r>
      <w:r w:rsidRPr="00D120AC">
        <w:rPr>
          <w:lang w:val="en-CA"/>
        </w:rPr>
        <w:sym w:font="Symbol" w:char="F0B4"/>
      </w:r>
      <w:r w:rsidRPr="00D120AC">
        <w:rPr>
          <w:lang w:val="en-CA"/>
        </w:rPr>
        <w:t>10</w:t>
      </w:r>
      <w:r w:rsidRPr="00D120AC">
        <w:rPr>
          <w:vertAlign w:val="superscript"/>
          <w:lang w:val="en-CA"/>
        </w:rPr>
        <w:t>-8</w:t>
      </w:r>
      <w:r w:rsidRPr="00D120AC">
        <w:rPr>
          <w:lang w:val="en-CA"/>
        </w:rPr>
        <w:t xml:space="preserve"> S cm</w:t>
      </w:r>
      <w:r w:rsidRPr="00D120AC">
        <w:rPr>
          <w:vertAlign w:val="superscript"/>
          <w:lang w:val="en-CA"/>
        </w:rPr>
        <w:t>-1</w:t>
      </w:r>
      <w:r w:rsidRPr="00D120AC">
        <w:rPr>
          <w:lang w:val="en-CA"/>
        </w:rPr>
        <w:t xml:space="preserve"> and increasing the content of the low ionically conductive t-CNF effectively decreases the amount of PEO in the resulting film. As a result, the amount of hopping sites for Li ions at higher t-CNF loadings is significantly decreased while the ion hopping distance is increased within the PEO matrix, inevitably leading to a higher activation energy needed for Li ion transport.</w:t>
      </w:r>
      <w:r w:rsidRPr="00D120AC">
        <w:rPr>
          <w:vertAlign w:val="superscript"/>
          <w:lang w:val="en-CA"/>
        </w:rPr>
        <w:fldChar w:fldCharType="begin" w:fldLock="1"/>
      </w:r>
      <w:r w:rsidRPr="00D120AC">
        <w:rPr>
          <w:vertAlign w:val="superscript"/>
          <w:lang w:val="en-CA"/>
        </w:rPr>
        <w:instrText>ADDIN CSL_CITATION {"citationItems":[{"id":"ITEM-1","itemData":{"DOI":"10.3390/polym11030452","ISSN":"20734360","abstract":"Poly(ethylene oxide) (PEO) is the most widely used polymer in the field of solid polymer electrolytes for batteries. It is well known that the crystallinity of polymer electrolytes strongly affects the ionic conductivity and its electrochemical performance. Nowadays, alternatives to PEO are actively researched in the battery community, showing higher ionic conductivity, electrochemical window, or working temperature range. In this work, we investigated polymer electrolytes based on aliphatic polyethers with a number of methylene units ranging from 2 to 12. Thus, the effect of the lithium bis(trifluoromethanesulfone) imide (LiTFSI) concentration on the crystallization behavior of the new aliphatic polyethers and their ionic conductivity was investigated. In all the cases, the degree of crystallinity and the overall crystallization rate of the polymers decreased drastically with 30 wt % LiTFSI addition. The salt acted as a low molecular diluent to the polyethers according to the expectation of the Flory-Huggins theory for polymer-diluent mixtures. By fitting our results to this theory, the value of the interaction energy density (B) between the polyether and the LiTFSI was calculated, and we show that the value of B must be small to obtain high ionic conductivity electrolytes.","author":[{"dropping-particle":"","family":"Olmedo-Martínez","given":"Jorge L.","non-dropping-particle":"","parse-names":false,"suffix":""},{"dropping-particle":"","family":"Meabe","given":"Leire","non-dropping-particle":"","parse-names":false,"suffix":""},{"dropping-particle":"","family":"Basterretxea","given":"Andere","non-dropping-particle":"","parse-names":false,"suffix":""},{"dropping-particle":"","family":"Mecerreyes","given":"David","non-dropping-particle":"","parse-names":false,"suffix":""},{"dropping-particle":"","family":"Müller","given":"Alejandro J.","non-dropping-particle":"","parse-names":false,"suffix":""}],"container-title":"Polymers","id":"ITEM-1","issue":"3","issued":{"date-parts":[["2019"]]},"title":"Effect of chemical structure and salt concentration on the crystallization and ionic conductivity of aliphatic polyethers","type":"article-journal","volume":"11"},"uris":["http://www.mendeley.com/documents/?uuid=61ae916e-3946-4a7c-83d8-161e9e7f64e6"]}],"mendeley":{"formattedCitation":"[20]","plainTextFormattedCitation":"[20]","previouslyFormattedCitation":"[20]"},"properties":{"noteIndex":0},"schema":"https://github.com/citation-style-language/schema/raw/master/csl-citation.json"}</w:instrText>
      </w:r>
      <w:r w:rsidRPr="00D120AC">
        <w:rPr>
          <w:vertAlign w:val="superscript"/>
          <w:lang w:val="en-CA"/>
        </w:rPr>
        <w:fldChar w:fldCharType="separate"/>
      </w:r>
      <w:r w:rsidRPr="00D120AC">
        <w:rPr>
          <w:noProof/>
          <w:vertAlign w:val="superscript"/>
          <w:lang w:val="en-CA"/>
        </w:rPr>
        <w:t>20</w:t>
      </w:r>
      <w:r w:rsidRPr="00D120AC">
        <w:rPr>
          <w:vertAlign w:val="superscript"/>
          <w:lang w:val="en-CA"/>
        </w:rPr>
        <w:fldChar w:fldCharType="end"/>
      </w:r>
      <w:r w:rsidRPr="00D120AC">
        <w:rPr>
          <w:lang w:val="en-CA"/>
        </w:rPr>
        <w:t xml:space="preserve"> Increasing both the MW of PEO and the t-CNF content causes more steric entanglement, hence reducing the mobility of the PEO chains that ultimately affects ion hopping. In addition, CSPEs surface roughness and the consequent electrolyte – electrode contact area can influence the conductivity results.</w:t>
      </w:r>
    </w:p>
    <w:bookmarkEnd w:id="1"/>
    <w:p w14:paraId="4068B90D" w14:textId="45EFBCF3" w:rsidR="00872A4B" w:rsidRPr="00D120AC" w:rsidRDefault="00872A4B" w:rsidP="00872A4B">
      <w:pPr>
        <w:spacing w:line="480" w:lineRule="auto"/>
        <w:ind w:firstLine="720"/>
        <w:rPr>
          <w:lang w:val="en-CA"/>
        </w:rPr>
      </w:pPr>
      <w:r w:rsidRPr="00D120AC">
        <w:rPr>
          <w:lang w:val="en-CA"/>
        </w:rPr>
        <w:t>The difference in the crystallinity of PEO</w:t>
      </w:r>
      <w:r w:rsidRPr="00D120AC">
        <w:rPr>
          <w:vertAlign w:val="subscript"/>
          <w:lang w:val="en-CA"/>
        </w:rPr>
        <w:t>4k</w:t>
      </w:r>
      <w:r w:rsidRPr="00D120AC">
        <w:rPr>
          <w:lang w:val="en-CA"/>
        </w:rPr>
        <w:t xml:space="preserve"> and PEO</w:t>
      </w:r>
      <w:r w:rsidRPr="00D120AC">
        <w:rPr>
          <w:vertAlign w:val="subscript"/>
          <w:lang w:val="en-CA"/>
        </w:rPr>
        <w:t>100k</w:t>
      </w:r>
      <w:r w:rsidRPr="00D120AC">
        <w:rPr>
          <w:lang w:val="en-CA"/>
        </w:rPr>
        <w:t xml:space="preserve"> (Figure 1a) impacts the CSPE behaviour during EIS measurements and the Arrhenius plot configuration in an expected manner. CSPE samples exhibit different ionic conductivity values during heating and cooling cycles (Figure S</w:t>
      </w:r>
      <w:r w:rsidR="00B2571A">
        <w:rPr>
          <w:lang w:val="en-CA"/>
        </w:rPr>
        <w:t>6</w:t>
      </w:r>
      <w:r w:rsidRPr="00D120AC">
        <w:rPr>
          <w:lang w:val="en-CA"/>
        </w:rPr>
        <w:t>, Supporting Information), with an order of magnitude higher ionic conductivity during cooling. The fact that this difference is more noticeable for PEO</w:t>
      </w:r>
      <w:r w:rsidRPr="00D120AC">
        <w:rPr>
          <w:vertAlign w:val="subscript"/>
          <w:lang w:val="en-CA"/>
        </w:rPr>
        <w:t>100k</w:t>
      </w:r>
      <w:r w:rsidRPr="00D120AC">
        <w:rPr>
          <w:lang w:val="en-CA"/>
        </w:rPr>
        <w:t>-based CSPE, especially at lower temperatures, while it almost disappears above the PEO melting temperature, implies that the observed discrepancy is mostly due to the poor electrode – electrolyte contact. At room temperature, the contact resistance between the stiff CSPE and the electrode is high, while PEO softens with increasing temperature providing a better contact and hence reducing the contact resistance.</w:t>
      </w:r>
    </w:p>
    <w:p w14:paraId="722BF319" w14:textId="5EBE3C00" w:rsidR="009913B5" w:rsidRDefault="00872A4B" w:rsidP="009913B5">
      <w:pPr>
        <w:spacing w:line="480" w:lineRule="auto"/>
        <w:ind w:firstLine="720"/>
        <w:rPr>
          <w:lang w:val="en-CA"/>
        </w:rPr>
      </w:pPr>
      <w:r w:rsidRPr="006C474C">
        <w:rPr>
          <w:lang w:val="en-CA"/>
        </w:rPr>
        <w:t xml:space="preserve">The challenge of the poor electrolyte – electrode contact </w:t>
      </w:r>
      <w:proofErr w:type="gramStart"/>
      <w:r w:rsidRPr="006C474C">
        <w:rPr>
          <w:lang w:val="en-CA"/>
        </w:rPr>
        <w:t>was overcome</w:t>
      </w:r>
      <w:proofErr w:type="gramEnd"/>
      <w:r w:rsidRPr="006C474C">
        <w:rPr>
          <w:lang w:val="en-CA"/>
        </w:rPr>
        <w:t xml:space="preserve"> through incorporation of PEO</w:t>
      </w:r>
      <w:r w:rsidRPr="006C474C">
        <w:rPr>
          <w:vertAlign w:val="subscript"/>
          <w:lang w:val="en-CA"/>
        </w:rPr>
        <w:t>4k</w:t>
      </w:r>
      <w:r w:rsidRPr="006C474C">
        <w:rPr>
          <w:lang w:val="en-CA"/>
        </w:rPr>
        <w:t>+LiClO</w:t>
      </w:r>
      <w:r w:rsidRPr="006C474C">
        <w:rPr>
          <w:vertAlign w:val="subscript"/>
          <w:lang w:val="en-CA"/>
        </w:rPr>
        <w:t>4</w:t>
      </w:r>
      <w:r w:rsidRPr="006C474C">
        <w:rPr>
          <w:lang w:val="en-CA"/>
        </w:rPr>
        <w:t xml:space="preserve"> slurry was casted on both sides of PEO</w:t>
      </w:r>
      <w:r w:rsidRPr="006C474C">
        <w:rPr>
          <w:vertAlign w:val="subscript"/>
          <w:lang w:val="en-CA"/>
        </w:rPr>
        <w:t>4k</w:t>
      </w:r>
      <w:r w:rsidRPr="006C474C">
        <w:rPr>
          <w:lang w:val="en-CA"/>
        </w:rPr>
        <w:t xml:space="preserve"> and PEO</w:t>
      </w:r>
      <w:r w:rsidRPr="006C474C">
        <w:rPr>
          <w:vertAlign w:val="subscript"/>
          <w:lang w:val="en-CA"/>
        </w:rPr>
        <w:t>100k</w:t>
      </w:r>
      <w:r w:rsidRPr="006C474C">
        <w:rPr>
          <w:lang w:val="en-CA"/>
        </w:rPr>
        <w:t xml:space="preserve">-based CSPEs. The ionic conductivity of the coated CSPE samples at ambient temperature was up to three orders of magnitude higher than one of CSPE samples without the slurry coating within </w:t>
      </w:r>
      <w:r w:rsidRPr="006C474C">
        <w:rPr>
          <w:lang w:val="en-CA"/>
        </w:rPr>
        <w:lastRenderedPageBreak/>
        <w:t>the EIS cell (Figure</w:t>
      </w:r>
      <w:r w:rsidR="009913B5" w:rsidRPr="006C474C">
        <w:rPr>
          <w:lang w:val="en-CA"/>
        </w:rPr>
        <w:t>S</w:t>
      </w:r>
      <w:r w:rsidR="00B2571A" w:rsidRPr="006C474C">
        <w:rPr>
          <w:lang w:val="en-CA"/>
        </w:rPr>
        <w:t>5</w:t>
      </w:r>
      <w:r w:rsidR="009913B5" w:rsidRPr="006C474C">
        <w:rPr>
          <w:lang w:val="en-CA"/>
        </w:rPr>
        <w:t>, Supporting Information)</w:t>
      </w:r>
      <w:r w:rsidRPr="006C474C">
        <w:rPr>
          <w:lang w:val="en-CA"/>
        </w:rPr>
        <w:t>. The bulk ionic conductivity</w:t>
      </w:r>
      <w:r w:rsidR="009913B5" w:rsidRPr="006C474C">
        <w:rPr>
          <w:lang w:val="en-CA"/>
        </w:rPr>
        <w:t xml:space="preserve"> (Figure 5)</w:t>
      </w:r>
      <w:r w:rsidRPr="006C474C">
        <w:rPr>
          <w:lang w:val="en-CA"/>
        </w:rPr>
        <w:t xml:space="preserve"> of the CSPE is at the level of neat PEO even with 20 wt. % t-CNF is indicating that the suppression of PEO crystallinity with the addition of t-CNFs offsets the lower content of PEO. The calculated weight percentages of the amorphous PEO phase</w:t>
      </w:r>
      <w:r w:rsidR="00CE4275" w:rsidRPr="006C474C">
        <w:rPr>
          <w:lang w:val="en-CA"/>
        </w:rPr>
        <w:t xml:space="preserve"> based on the DSC results</w:t>
      </w:r>
      <w:r w:rsidRPr="006C474C">
        <w:rPr>
          <w:lang w:val="en-CA"/>
        </w:rPr>
        <w:t xml:space="preserve"> in PEO</w:t>
      </w:r>
      <w:r w:rsidRPr="006C474C">
        <w:rPr>
          <w:vertAlign w:val="subscript"/>
          <w:lang w:val="en-CA"/>
        </w:rPr>
        <w:t>100k</w:t>
      </w:r>
      <w:r w:rsidRPr="006C474C">
        <w:rPr>
          <w:lang w:val="en-CA"/>
        </w:rPr>
        <w:t>/LiClO</w:t>
      </w:r>
      <w:r w:rsidRPr="006C474C">
        <w:rPr>
          <w:vertAlign w:val="subscript"/>
          <w:lang w:val="en-CA"/>
        </w:rPr>
        <w:t>4</w:t>
      </w:r>
      <w:r w:rsidRPr="006C474C">
        <w:rPr>
          <w:lang w:val="en-CA"/>
        </w:rPr>
        <w:t xml:space="preserve"> and PEO</w:t>
      </w:r>
      <w:r w:rsidRPr="006C474C">
        <w:rPr>
          <w:vertAlign w:val="subscript"/>
          <w:lang w:val="en-CA"/>
        </w:rPr>
        <w:t>100k</w:t>
      </w:r>
      <w:r w:rsidRPr="006C474C">
        <w:rPr>
          <w:lang w:val="en-CA"/>
        </w:rPr>
        <w:t>/LiClO</w:t>
      </w:r>
      <w:r w:rsidRPr="006C474C">
        <w:rPr>
          <w:vertAlign w:val="subscript"/>
          <w:lang w:val="en-CA"/>
        </w:rPr>
        <w:t>4</w:t>
      </w:r>
      <w:r w:rsidRPr="006C474C">
        <w:rPr>
          <w:lang w:val="en-CA"/>
        </w:rPr>
        <w:t>(t-CNF20wt%) samples are 50 wt. % and 52 wt. %,</w:t>
      </w:r>
      <w:r w:rsidRPr="00D120AC">
        <w:rPr>
          <w:lang w:val="en-CA"/>
        </w:rPr>
        <w:t xml:space="preserve"> respectively. Therefore, the growth suppression of large and highly ordered spherulitic formations helped counterbalance the inherent low ionic conductivity of t-CNFs while improving the mechanical integrity of the CSPEs. The CSPE samples stay intact in a wide temperature range from 25-120 ºC, while pure PEO films lose their stiffness and shape above 50 ºC regardless of PEO MW (Figure S</w:t>
      </w:r>
      <w:r w:rsidR="00B2571A">
        <w:rPr>
          <w:lang w:val="en-CA"/>
        </w:rPr>
        <w:t>7</w:t>
      </w:r>
      <w:r w:rsidRPr="00D120AC">
        <w:rPr>
          <w:lang w:val="en-CA"/>
        </w:rPr>
        <w:t>, Supporting Information).</w:t>
      </w:r>
    </w:p>
    <w:p w14:paraId="287BF0CC" w14:textId="3EB4D540" w:rsidR="009913B5" w:rsidRPr="00D120AC" w:rsidRDefault="009913B5" w:rsidP="009913B5">
      <w:pPr>
        <w:spacing w:line="480" w:lineRule="auto"/>
        <w:ind w:firstLine="720"/>
        <w:jc w:val="center"/>
        <w:rPr>
          <w:lang w:val="en-CA"/>
        </w:rPr>
      </w:pPr>
      <w:r>
        <w:rPr>
          <w:noProof/>
        </w:rPr>
        <w:drawing>
          <wp:inline distT="0" distB="0" distL="0" distR="0" wp14:anchorId="36D6CA3E" wp14:editId="6A6638B8">
            <wp:extent cx="3467819" cy="3520958"/>
            <wp:effectExtent l="0" t="0" r="0" b="0"/>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104" cy="3529370"/>
                    </a:xfrm>
                    <a:prstGeom prst="rect">
                      <a:avLst/>
                    </a:prstGeom>
                    <a:noFill/>
                    <a:ln>
                      <a:noFill/>
                    </a:ln>
                  </pic:spPr>
                </pic:pic>
              </a:graphicData>
            </a:graphic>
          </wp:inline>
        </w:drawing>
      </w:r>
    </w:p>
    <w:p w14:paraId="1EE4E37C" w14:textId="4CB1B47F" w:rsidR="003B3345" w:rsidRPr="00B2571A" w:rsidRDefault="00872A4B" w:rsidP="00872A4B">
      <w:pPr>
        <w:contextualSpacing/>
        <w:rPr>
          <w:color w:val="000000" w:themeColor="text1"/>
          <w:lang w:val="en-CA"/>
        </w:rPr>
      </w:pPr>
      <w:r w:rsidRPr="00D120AC">
        <w:rPr>
          <w:b/>
          <w:color w:val="000000" w:themeColor="text1"/>
          <w:lang w:val="en-CA"/>
        </w:rPr>
        <w:t>Figure 5.</w:t>
      </w:r>
      <w:r w:rsidRPr="00D120AC">
        <w:rPr>
          <w:color w:val="000000" w:themeColor="text1"/>
          <w:lang w:val="en-CA"/>
        </w:rPr>
        <w:t xml:space="preserve"> Arrhenius plot of ionic conductivity for samples PEO + LiClO</w:t>
      </w:r>
      <w:r w:rsidRPr="00D120AC">
        <w:rPr>
          <w:color w:val="000000" w:themeColor="text1"/>
          <w:vertAlign w:val="subscript"/>
          <w:lang w:val="en-CA"/>
        </w:rPr>
        <w:t>4</w:t>
      </w:r>
      <w:r w:rsidRPr="00D120AC">
        <w:rPr>
          <w:color w:val="000000" w:themeColor="text1"/>
          <w:lang w:val="en-CA"/>
        </w:rPr>
        <w:t xml:space="preserve"> and CSPEs with 20 wt. % t-CNF loading coated with an additional highly conductive slurry of PEO</w:t>
      </w:r>
      <w:r w:rsidRPr="00D120AC">
        <w:rPr>
          <w:color w:val="000000" w:themeColor="text1"/>
          <w:vertAlign w:val="subscript"/>
          <w:lang w:val="en-CA"/>
        </w:rPr>
        <w:t>4k</w:t>
      </w:r>
      <w:r w:rsidRPr="00D120AC">
        <w:rPr>
          <w:color w:val="000000" w:themeColor="text1"/>
          <w:lang w:val="en-CA"/>
        </w:rPr>
        <w:t>+LiClO</w:t>
      </w:r>
      <w:r w:rsidRPr="00D120AC">
        <w:rPr>
          <w:color w:val="000000" w:themeColor="text1"/>
          <w:vertAlign w:val="subscript"/>
          <w:lang w:val="en-CA"/>
        </w:rPr>
        <w:t>4</w:t>
      </w:r>
      <w:r w:rsidRPr="00D120AC">
        <w:rPr>
          <w:color w:val="000000" w:themeColor="text1"/>
          <w:lang w:val="en-CA"/>
        </w:rPr>
        <w:t>.</w:t>
      </w:r>
    </w:p>
    <w:p w14:paraId="71E7DBCF" w14:textId="77777777" w:rsidR="006C06F0" w:rsidRDefault="006C06F0" w:rsidP="00CD735E">
      <w:pPr>
        <w:spacing w:line="480" w:lineRule="auto"/>
        <w:ind w:firstLine="720"/>
        <w:rPr>
          <w:lang w:val="en-CA"/>
        </w:rPr>
      </w:pPr>
    </w:p>
    <w:p w14:paraId="33ACDB7E" w14:textId="23682F08" w:rsidR="00086B91" w:rsidRPr="00D120AC" w:rsidRDefault="0081731F" w:rsidP="00CD735E">
      <w:pPr>
        <w:spacing w:line="480" w:lineRule="auto"/>
        <w:ind w:firstLine="720"/>
        <w:rPr>
          <w:lang w:val="en-CA"/>
        </w:rPr>
      </w:pPr>
      <w:r>
        <w:rPr>
          <w:lang w:val="en-CA"/>
        </w:rPr>
        <w:lastRenderedPageBreak/>
        <w:t>Electrochemical strain microscopy (</w:t>
      </w:r>
      <w:r w:rsidR="00D9685A" w:rsidRPr="00D120AC">
        <w:rPr>
          <w:lang w:val="en-CA"/>
        </w:rPr>
        <w:t>ESM</w:t>
      </w:r>
      <w:r>
        <w:rPr>
          <w:lang w:val="en-CA"/>
        </w:rPr>
        <w:t>)</w:t>
      </w:r>
      <w:r w:rsidR="00D9685A" w:rsidRPr="00D120AC">
        <w:rPr>
          <w:lang w:val="en-CA"/>
        </w:rPr>
        <w:t xml:space="preserve"> measurements </w:t>
      </w:r>
      <w:proofErr w:type="gramStart"/>
      <w:r w:rsidR="003B3EBA">
        <w:rPr>
          <w:lang w:val="en-CA"/>
        </w:rPr>
        <w:t xml:space="preserve">were </w:t>
      </w:r>
      <w:r w:rsidR="00310D76">
        <w:rPr>
          <w:lang w:val="en-CA"/>
        </w:rPr>
        <w:t>conducted</w:t>
      </w:r>
      <w:proofErr w:type="gramEnd"/>
      <w:r w:rsidR="00310D76">
        <w:rPr>
          <w:lang w:val="en-CA"/>
        </w:rPr>
        <w:t xml:space="preserve"> to understand the difference in mobility of Li</w:t>
      </w:r>
      <w:r w:rsidR="007D7AB6" w:rsidRPr="007D7AB6">
        <w:rPr>
          <w:vertAlign w:val="superscript"/>
          <w:lang w:val="en-CA"/>
        </w:rPr>
        <w:t>+</w:t>
      </w:r>
      <w:r w:rsidR="00310D76">
        <w:rPr>
          <w:lang w:val="en-CA"/>
        </w:rPr>
        <w:t xml:space="preserve"> ions in the two systems. </w:t>
      </w:r>
      <w:r w:rsidR="00706771" w:rsidRPr="00D120AC">
        <w:rPr>
          <w:lang w:val="en-CA"/>
        </w:rPr>
        <w:t xml:space="preserve">Under the influence of the electrical field at the </w:t>
      </w:r>
      <w:r w:rsidR="00AD13A1">
        <w:rPr>
          <w:lang w:val="en-CA"/>
        </w:rPr>
        <w:t xml:space="preserve">cantilever </w:t>
      </w:r>
      <w:r w:rsidR="00706771" w:rsidRPr="00D120AC">
        <w:rPr>
          <w:lang w:val="en-CA"/>
        </w:rPr>
        <w:t>tip, lithium ions inside the material move towards or away from the tip</w:t>
      </w:r>
      <w:r w:rsidR="00CE4275">
        <w:rPr>
          <w:lang w:val="en-CA"/>
        </w:rPr>
        <w:t xml:space="preserve">. </w:t>
      </w:r>
      <w:proofErr w:type="spellStart"/>
      <w:r w:rsidR="00706771" w:rsidRPr="00D120AC">
        <w:rPr>
          <w:lang w:val="en-CA"/>
        </w:rPr>
        <w:t>Shoen</w:t>
      </w:r>
      <w:proofErr w:type="spellEnd"/>
      <w:r w:rsidR="00706771" w:rsidRPr="00D120AC">
        <w:rPr>
          <w:lang w:val="en-CA"/>
        </w:rPr>
        <w:t xml:space="preserve"> et al. </w:t>
      </w:r>
      <w:r w:rsidR="003B3EBA" w:rsidRPr="00D120AC">
        <w:rPr>
          <w:lang w:val="en-CA"/>
        </w:rPr>
        <w:t>demonstrated</w:t>
      </w:r>
      <w:r w:rsidR="00706771" w:rsidRPr="00D120AC">
        <w:rPr>
          <w:lang w:val="en-CA"/>
        </w:rPr>
        <w:t xml:space="preserve"> that there is a link between </w:t>
      </w:r>
      <w:r w:rsidR="00175A24">
        <w:rPr>
          <w:lang w:val="en-CA"/>
        </w:rPr>
        <w:t>ionic conductivity, local ion mobility</w:t>
      </w:r>
      <w:r w:rsidR="00706771" w:rsidRPr="00D120AC">
        <w:rPr>
          <w:lang w:val="en-CA"/>
        </w:rPr>
        <w:t xml:space="preserve"> and tip-samples interaction</w:t>
      </w:r>
      <w:r w:rsidR="00FF6138">
        <w:rPr>
          <w:lang w:val="en-CA"/>
        </w:rPr>
        <w:t>. Thereby,</w:t>
      </w:r>
      <w:r w:rsidR="00175A24">
        <w:rPr>
          <w:lang w:val="en-CA"/>
        </w:rPr>
        <w:t xml:space="preserve"> for ceramic materials with inherently higher ionic conductivity both contact resonance frequency (CRF) of the cantilever and amplitude of ESM signal are higher </w:t>
      </w:r>
      <w:r w:rsidR="00FF6138">
        <w:rPr>
          <w:lang w:val="en-CA"/>
        </w:rPr>
        <w:t>compared to ones recorded for polymer-based electrolytes</w:t>
      </w:r>
      <w:r w:rsidR="00706771" w:rsidRPr="00D120AC">
        <w:rPr>
          <w:lang w:val="en-CA"/>
        </w:rPr>
        <w:t>.</w:t>
      </w:r>
      <w:r w:rsidR="007C4759">
        <w:rPr>
          <w:vertAlign w:val="superscript"/>
          <w:lang w:val="en-CA"/>
        </w:rPr>
        <w:t>51</w:t>
      </w:r>
      <w:r w:rsidR="00706771" w:rsidRPr="00D120AC">
        <w:rPr>
          <w:lang w:val="en-CA"/>
        </w:rPr>
        <w:t xml:space="preserve"> </w:t>
      </w:r>
      <w:r w:rsidR="00A37088">
        <w:rPr>
          <w:lang w:val="en-CA"/>
        </w:rPr>
        <w:t xml:space="preserve">As a crosstalk between </w:t>
      </w:r>
      <w:r>
        <w:rPr>
          <w:lang w:val="en-CA"/>
        </w:rPr>
        <w:t xml:space="preserve">sample topography and ESM signal has been proven to be an important factor in data interpretation, the first step for us was to prove that </w:t>
      </w:r>
      <w:r w:rsidR="007D4D9D">
        <w:rPr>
          <w:lang w:val="en-CA"/>
        </w:rPr>
        <w:t xml:space="preserve">our ESM results are not affected by CSPEs </w:t>
      </w:r>
      <w:r w:rsidR="007D4D9D" w:rsidRPr="006C474C">
        <w:rPr>
          <w:lang w:val="en-CA"/>
        </w:rPr>
        <w:t>topography. Figure S</w:t>
      </w:r>
      <w:r w:rsidR="00B2571A" w:rsidRPr="006C474C">
        <w:rPr>
          <w:lang w:val="en-CA"/>
        </w:rPr>
        <w:t>8</w:t>
      </w:r>
      <w:r w:rsidR="009913B5" w:rsidRPr="006C474C">
        <w:rPr>
          <w:lang w:val="en-CA"/>
        </w:rPr>
        <w:t xml:space="preserve"> (Supporting Information)</w:t>
      </w:r>
      <w:r w:rsidR="007D4D9D" w:rsidRPr="006C474C">
        <w:rPr>
          <w:lang w:val="en-CA"/>
        </w:rPr>
        <w:t xml:space="preserve"> </w:t>
      </w:r>
      <w:r w:rsidR="00431794" w:rsidRPr="006C474C">
        <w:rPr>
          <w:lang w:val="en-CA"/>
        </w:rPr>
        <w:t>depicts PEO</w:t>
      </w:r>
      <w:r w:rsidR="00431794" w:rsidRPr="006C474C">
        <w:rPr>
          <w:vertAlign w:val="subscript"/>
          <w:lang w:val="en-CA"/>
        </w:rPr>
        <w:t>100k</w:t>
      </w:r>
      <w:r w:rsidR="007D4D9D" w:rsidRPr="006C474C">
        <w:rPr>
          <w:lang w:val="en-CA"/>
        </w:rPr>
        <w:t>+</w:t>
      </w:r>
      <w:r w:rsidR="00431794" w:rsidRPr="006C474C">
        <w:rPr>
          <w:lang w:val="en-CA"/>
        </w:rPr>
        <w:t>LiClO</w:t>
      </w:r>
      <w:r w:rsidR="00431794" w:rsidRPr="006C474C">
        <w:rPr>
          <w:vertAlign w:val="subscript"/>
          <w:lang w:val="en-CA"/>
        </w:rPr>
        <w:t>4</w:t>
      </w:r>
      <w:r w:rsidR="00431794" w:rsidRPr="006C474C">
        <w:rPr>
          <w:lang w:val="en-CA"/>
        </w:rPr>
        <w:t xml:space="preserve">(t-CNF20wt%) sample topography and its corresponding </w:t>
      </w:r>
      <w:r w:rsidR="00DC7367" w:rsidRPr="006C474C">
        <w:rPr>
          <w:lang w:val="en-CA"/>
        </w:rPr>
        <w:t xml:space="preserve">ESM amplitude </w:t>
      </w:r>
      <w:r w:rsidR="00431794" w:rsidRPr="006C474C">
        <w:rPr>
          <w:lang w:val="en-CA"/>
        </w:rPr>
        <w:t>signal</w:t>
      </w:r>
      <w:r w:rsidR="00AA556E" w:rsidRPr="006C474C">
        <w:rPr>
          <w:lang w:val="en-CA"/>
        </w:rPr>
        <w:t xml:space="preserve"> and the</w:t>
      </w:r>
      <w:r w:rsidR="00431794" w:rsidRPr="006C474C">
        <w:rPr>
          <w:lang w:val="en-CA"/>
        </w:rPr>
        <w:t xml:space="preserve"> results demonstrate that there is no </w:t>
      </w:r>
      <w:r w:rsidR="00DC7367" w:rsidRPr="006C474C">
        <w:rPr>
          <w:lang w:val="en-CA"/>
        </w:rPr>
        <w:t xml:space="preserve">direct correlation </w:t>
      </w:r>
      <w:r w:rsidR="00B9715E" w:rsidRPr="006C474C">
        <w:rPr>
          <w:lang w:val="en-CA"/>
        </w:rPr>
        <w:t>ESM amplitude and sample roughness</w:t>
      </w:r>
      <w:r w:rsidR="00D27131" w:rsidRPr="006C474C">
        <w:rPr>
          <w:lang w:val="en-CA"/>
        </w:rPr>
        <w:t xml:space="preserve">. In addition, frequency </w:t>
      </w:r>
      <w:r w:rsidR="00B9715E" w:rsidRPr="006C474C">
        <w:rPr>
          <w:lang w:val="en-CA"/>
        </w:rPr>
        <w:t xml:space="preserve">phase </w:t>
      </w:r>
      <w:r w:rsidR="00D27131" w:rsidRPr="006C474C">
        <w:rPr>
          <w:lang w:val="en-CA"/>
        </w:rPr>
        <w:t xml:space="preserve">shift was recorded as an indicator of </w:t>
      </w:r>
      <w:proofErr w:type="gramStart"/>
      <w:r w:rsidR="00D27131" w:rsidRPr="006C474C">
        <w:rPr>
          <w:lang w:val="en-CA"/>
        </w:rPr>
        <w:t>different phases</w:t>
      </w:r>
      <w:proofErr w:type="gramEnd"/>
      <w:r w:rsidR="00D27131" w:rsidRPr="006C474C">
        <w:rPr>
          <w:lang w:val="en-CA"/>
        </w:rPr>
        <w:t xml:space="preserve"> in composite</w:t>
      </w:r>
      <w:r w:rsidR="00B9715E" w:rsidRPr="006C474C">
        <w:rPr>
          <w:lang w:val="en-CA"/>
        </w:rPr>
        <w:t>.</w:t>
      </w:r>
      <w:r w:rsidR="00D27131" w:rsidRPr="006C474C">
        <w:rPr>
          <w:lang w:val="en-CA"/>
        </w:rPr>
        <w:t xml:space="preserve"> </w:t>
      </w:r>
      <w:r w:rsidR="00B9715E" w:rsidRPr="006C474C">
        <w:rPr>
          <w:lang w:val="en-CA"/>
        </w:rPr>
        <w:t>S</w:t>
      </w:r>
      <w:r w:rsidR="00D27131" w:rsidRPr="006C474C">
        <w:rPr>
          <w:lang w:val="en-CA"/>
        </w:rPr>
        <w:t xml:space="preserve">ince it </w:t>
      </w:r>
      <w:r w:rsidR="00B9715E" w:rsidRPr="006C474C">
        <w:rPr>
          <w:lang w:val="en-CA"/>
        </w:rPr>
        <w:t>depends</w:t>
      </w:r>
      <w:r w:rsidR="00D27131" w:rsidRPr="006C474C">
        <w:rPr>
          <w:lang w:val="en-CA"/>
        </w:rPr>
        <w:t xml:space="preserve"> on mech</w:t>
      </w:r>
      <w:r w:rsidR="001A4558" w:rsidRPr="006C474C">
        <w:rPr>
          <w:lang w:val="en-CA"/>
        </w:rPr>
        <w:t>a</w:t>
      </w:r>
      <w:r w:rsidR="00D27131" w:rsidRPr="006C474C">
        <w:rPr>
          <w:lang w:val="en-CA"/>
        </w:rPr>
        <w:t>nical properties of the material</w:t>
      </w:r>
      <w:r w:rsidR="00862984" w:rsidRPr="006C474C">
        <w:rPr>
          <w:lang w:val="en-CA"/>
        </w:rPr>
        <w:t xml:space="preserve">, the presence of at least </w:t>
      </w:r>
      <w:proofErr w:type="gramStart"/>
      <w:r w:rsidR="00862984" w:rsidRPr="006C474C">
        <w:rPr>
          <w:lang w:val="en-CA"/>
        </w:rPr>
        <w:t>2</w:t>
      </w:r>
      <w:proofErr w:type="gramEnd"/>
      <w:r w:rsidR="00862984" w:rsidRPr="006C474C">
        <w:rPr>
          <w:lang w:val="en-CA"/>
        </w:rPr>
        <w:t xml:space="preserve"> contrast phases in </w:t>
      </w:r>
      <w:r w:rsidR="00746D15" w:rsidRPr="006C474C">
        <w:rPr>
          <w:lang w:val="en-CA"/>
        </w:rPr>
        <w:t xml:space="preserve">Figure </w:t>
      </w:r>
      <w:r w:rsidR="00F03F59" w:rsidRPr="006C474C">
        <w:rPr>
          <w:lang w:val="en-CA"/>
        </w:rPr>
        <w:t>S</w:t>
      </w:r>
      <w:r w:rsidR="00B2571A" w:rsidRPr="006C474C">
        <w:rPr>
          <w:lang w:val="en-CA"/>
        </w:rPr>
        <w:t>9</w:t>
      </w:r>
      <w:r w:rsidR="009913B5" w:rsidRPr="006C474C">
        <w:rPr>
          <w:lang w:val="en-CA"/>
        </w:rPr>
        <w:t xml:space="preserve"> (Supporting Information)</w:t>
      </w:r>
      <w:r w:rsidR="00862984" w:rsidRPr="006C474C">
        <w:rPr>
          <w:lang w:val="en-CA"/>
        </w:rPr>
        <w:t xml:space="preserve"> serves as supporting evidence </w:t>
      </w:r>
      <w:r w:rsidR="00CD735E" w:rsidRPr="006C474C">
        <w:rPr>
          <w:lang w:val="en-CA"/>
        </w:rPr>
        <w:t>that we can distinguish different composite components for further interpretation</w:t>
      </w:r>
      <w:r w:rsidR="00D27131" w:rsidRPr="006C474C">
        <w:rPr>
          <w:lang w:val="en-CA"/>
        </w:rPr>
        <w:t>.</w:t>
      </w:r>
    </w:p>
    <w:p w14:paraId="2615C99A" w14:textId="7BAA28ED" w:rsidR="00983CC3" w:rsidRPr="00D120AC" w:rsidRDefault="00983CC3" w:rsidP="00F14BCB">
      <w:pPr>
        <w:spacing w:line="480" w:lineRule="auto"/>
        <w:ind w:firstLine="720"/>
        <w:rPr>
          <w:lang w:val="en-CA"/>
        </w:rPr>
      </w:pPr>
      <w:r w:rsidRPr="00D120AC">
        <w:rPr>
          <w:lang w:val="en-CA"/>
        </w:rPr>
        <w:t xml:space="preserve">CSPE based on PEO with different MW </w:t>
      </w:r>
      <w:proofErr w:type="gramStart"/>
      <w:r w:rsidRPr="00D120AC">
        <w:rPr>
          <w:lang w:val="en-CA"/>
        </w:rPr>
        <w:t>was analysed</w:t>
      </w:r>
      <w:proofErr w:type="gramEnd"/>
      <w:r w:rsidRPr="00D120AC">
        <w:rPr>
          <w:lang w:val="en-CA"/>
        </w:rPr>
        <w:t xml:space="preserve"> and both </w:t>
      </w:r>
      <w:r w:rsidR="00310D76">
        <w:rPr>
          <w:lang w:val="en-CA"/>
        </w:rPr>
        <w:t>contact resonance frequency (</w:t>
      </w:r>
      <w:r w:rsidRPr="00D120AC">
        <w:rPr>
          <w:lang w:val="en-CA"/>
        </w:rPr>
        <w:t>CRF</w:t>
      </w:r>
      <w:r w:rsidR="005A4110">
        <w:rPr>
          <w:lang w:val="en-CA"/>
        </w:rPr>
        <w:t>),</w:t>
      </w:r>
      <w:r w:rsidRPr="00D120AC">
        <w:rPr>
          <w:lang w:val="en-CA"/>
        </w:rPr>
        <w:t xml:space="preserve"> and ESM amplitude signal</w:t>
      </w:r>
      <w:r w:rsidR="00CD735E">
        <w:rPr>
          <w:lang w:val="en-CA"/>
        </w:rPr>
        <w:t xml:space="preserve"> are demonstrated in Figure 6</w:t>
      </w:r>
      <w:r w:rsidR="00310D76">
        <w:rPr>
          <w:lang w:val="en-CA"/>
        </w:rPr>
        <w:t>.</w:t>
      </w:r>
      <w:r w:rsidRPr="00D120AC">
        <w:rPr>
          <w:lang w:val="en-CA"/>
        </w:rPr>
        <w:t xml:space="preserve"> </w:t>
      </w:r>
      <w:r w:rsidR="00ED1991" w:rsidRPr="00D120AC">
        <w:rPr>
          <w:lang w:val="en-CA"/>
        </w:rPr>
        <w:t xml:space="preserve">Higher ESM signal amplitude and more pronounced CRF peak (Figure </w:t>
      </w:r>
      <w:r w:rsidR="00ED1991">
        <w:rPr>
          <w:lang w:val="en-CA"/>
        </w:rPr>
        <w:t xml:space="preserve">6 </w:t>
      </w:r>
      <w:r w:rsidR="00ED1991" w:rsidRPr="00D120AC">
        <w:rPr>
          <w:lang w:val="en-CA"/>
        </w:rPr>
        <w:t>e) observed for PEO</w:t>
      </w:r>
      <w:r w:rsidR="00ED1991" w:rsidRPr="00D120AC">
        <w:rPr>
          <w:vertAlign w:val="subscript"/>
          <w:lang w:val="en-CA"/>
        </w:rPr>
        <w:t>4k</w:t>
      </w:r>
      <w:r w:rsidR="00ED1991" w:rsidRPr="00D120AC">
        <w:rPr>
          <w:lang w:val="en-CA"/>
        </w:rPr>
        <w:t>+LiClO</w:t>
      </w:r>
      <w:r w:rsidR="00ED1991" w:rsidRPr="00D120AC">
        <w:rPr>
          <w:vertAlign w:val="subscript"/>
          <w:lang w:val="en-CA"/>
        </w:rPr>
        <w:t>4</w:t>
      </w:r>
      <w:r w:rsidR="00ED1991" w:rsidRPr="00D120AC">
        <w:rPr>
          <w:lang w:val="en-CA"/>
        </w:rPr>
        <w:t xml:space="preserve">(t-CNF20wt%) </w:t>
      </w:r>
      <w:r w:rsidR="00640FD7">
        <w:rPr>
          <w:lang w:val="en-CA"/>
        </w:rPr>
        <w:t>demonstrate</w:t>
      </w:r>
      <w:r w:rsidR="00ED1991">
        <w:rPr>
          <w:lang w:val="en-CA"/>
        </w:rPr>
        <w:t xml:space="preserve"> </w:t>
      </w:r>
      <w:r w:rsidR="00640FD7">
        <w:rPr>
          <w:lang w:val="en-CA"/>
        </w:rPr>
        <w:t>higher</w:t>
      </w:r>
      <w:r w:rsidR="00ED1991" w:rsidRPr="00D120AC">
        <w:rPr>
          <w:lang w:val="en-CA"/>
        </w:rPr>
        <w:t xml:space="preserve"> ionic conductivity</w:t>
      </w:r>
      <w:r w:rsidR="00ED1991">
        <w:rPr>
          <w:lang w:val="en-CA"/>
        </w:rPr>
        <w:t xml:space="preserve">, </w:t>
      </w:r>
      <w:r w:rsidR="00640FD7">
        <w:rPr>
          <w:lang w:val="en-CA"/>
        </w:rPr>
        <w:t xml:space="preserve">and </w:t>
      </w:r>
      <w:r w:rsidR="00ED1991">
        <w:rPr>
          <w:lang w:val="en-CA"/>
        </w:rPr>
        <w:t>higher ionic mobility</w:t>
      </w:r>
      <w:r w:rsidR="00640FD7">
        <w:rPr>
          <w:lang w:val="en-CA"/>
        </w:rPr>
        <w:t>, respectively</w:t>
      </w:r>
      <w:r w:rsidR="00ED1991" w:rsidRPr="00D120AC">
        <w:rPr>
          <w:lang w:val="en-CA"/>
        </w:rPr>
        <w:t xml:space="preserve">. </w:t>
      </w:r>
      <w:r w:rsidR="00ED1991">
        <w:rPr>
          <w:vertAlign w:val="superscript"/>
          <w:lang w:val="en-CA"/>
        </w:rPr>
        <w:t>5</w:t>
      </w:r>
      <w:r w:rsidR="00B15BDB">
        <w:rPr>
          <w:vertAlign w:val="superscript"/>
          <w:lang w:val="en-CA"/>
        </w:rPr>
        <w:t>0</w:t>
      </w:r>
      <w:r w:rsidR="00ED1991" w:rsidRPr="00D120AC">
        <w:rPr>
          <w:vertAlign w:val="superscript"/>
          <w:lang w:val="en-CA"/>
        </w:rPr>
        <w:t>, 5</w:t>
      </w:r>
      <w:r w:rsidR="00B15BDB">
        <w:rPr>
          <w:vertAlign w:val="superscript"/>
          <w:lang w:val="en-CA"/>
        </w:rPr>
        <w:t>1</w:t>
      </w:r>
      <w:r w:rsidR="00640FD7">
        <w:rPr>
          <w:vertAlign w:val="superscript"/>
          <w:lang w:val="en-CA"/>
        </w:rPr>
        <w:t>.</w:t>
      </w:r>
      <w:r w:rsidR="00ED1991">
        <w:rPr>
          <w:lang w:val="en-CA"/>
        </w:rPr>
        <w:t xml:space="preserve"> </w:t>
      </w:r>
      <w:r w:rsidR="00640FD7">
        <w:rPr>
          <w:lang w:val="en-CA"/>
        </w:rPr>
        <w:t>Higher mobility of Li-ions in PEO</w:t>
      </w:r>
      <w:r w:rsidR="00640FD7" w:rsidRPr="00F14BCB">
        <w:rPr>
          <w:vertAlign w:val="subscript"/>
          <w:lang w:val="en-CA"/>
        </w:rPr>
        <w:t>4k</w:t>
      </w:r>
      <w:r w:rsidR="00640FD7">
        <w:rPr>
          <w:lang w:val="en-CA"/>
        </w:rPr>
        <w:t xml:space="preserve"> system </w:t>
      </w:r>
      <w:proofErr w:type="gramStart"/>
      <w:r w:rsidR="00640FD7">
        <w:rPr>
          <w:lang w:val="en-CA"/>
        </w:rPr>
        <w:t>is expected</w:t>
      </w:r>
      <w:proofErr w:type="gramEnd"/>
      <w:r w:rsidR="00640FD7">
        <w:rPr>
          <w:lang w:val="en-CA"/>
        </w:rPr>
        <w:t xml:space="preserve"> due to the enhanced segmental motion of shorter </w:t>
      </w:r>
      <w:r w:rsidR="005A7699">
        <w:rPr>
          <w:lang w:val="en-CA"/>
        </w:rPr>
        <w:t>PEO</w:t>
      </w:r>
      <w:r w:rsidR="00640FD7">
        <w:rPr>
          <w:lang w:val="en-CA"/>
        </w:rPr>
        <w:t xml:space="preserve"> chains and poorly organized spherulitic structures</w:t>
      </w:r>
      <w:r w:rsidR="005A7699">
        <w:rPr>
          <w:lang w:val="en-CA"/>
        </w:rPr>
        <w:t xml:space="preserve"> (observed by LSCM)</w:t>
      </w:r>
      <w:r w:rsidR="00640FD7">
        <w:rPr>
          <w:lang w:val="en-CA"/>
        </w:rPr>
        <w:t>.</w:t>
      </w:r>
      <w:r w:rsidR="005A7699">
        <w:rPr>
          <w:lang w:val="en-CA"/>
        </w:rPr>
        <w:t xml:space="preserve"> </w:t>
      </w:r>
      <w:r w:rsidR="00CD2E96" w:rsidRPr="00D120AC">
        <w:rPr>
          <w:lang w:val="en-CA"/>
        </w:rPr>
        <w:t xml:space="preserve">In both </w:t>
      </w:r>
      <w:r w:rsidR="00ED1991">
        <w:rPr>
          <w:lang w:val="en-CA"/>
        </w:rPr>
        <w:t xml:space="preserve">PEO systems </w:t>
      </w:r>
      <w:r w:rsidR="00CD2E96" w:rsidRPr="00D120AC">
        <w:rPr>
          <w:lang w:val="en-CA"/>
        </w:rPr>
        <w:t xml:space="preserve">features with lower ESM </w:t>
      </w:r>
      <w:r w:rsidR="00614FDF" w:rsidRPr="00D120AC">
        <w:rPr>
          <w:lang w:val="en-CA"/>
        </w:rPr>
        <w:t xml:space="preserve">signal </w:t>
      </w:r>
      <w:r w:rsidR="00CD2E96" w:rsidRPr="00D120AC">
        <w:rPr>
          <w:lang w:val="en-CA"/>
        </w:rPr>
        <w:t>amplitude ha</w:t>
      </w:r>
      <w:r w:rsidR="00E423A3" w:rsidRPr="00D120AC">
        <w:rPr>
          <w:lang w:val="en-CA"/>
        </w:rPr>
        <w:t>ve</w:t>
      </w:r>
      <w:r w:rsidR="00CD2E96" w:rsidRPr="00D120AC">
        <w:rPr>
          <w:lang w:val="en-CA"/>
        </w:rPr>
        <w:t xml:space="preserve"> distinctive fi</w:t>
      </w:r>
      <w:r w:rsidR="001B674E" w:rsidRPr="00D120AC">
        <w:rPr>
          <w:lang w:val="en-CA"/>
        </w:rPr>
        <w:t>b</w:t>
      </w:r>
      <w:r w:rsidR="00CD2E96" w:rsidRPr="00D120AC">
        <w:rPr>
          <w:lang w:val="en-CA"/>
        </w:rPr>
        <w:t xml:space="preserve">er shape </w:t>
      </w:r>
      <w:r w:rsidR="005A7699">
        <w:rPr>
          <w:lang w:val="en-CA"/>
        </w:rPr>
        <w:t>features</w:t>
      </w:r>
      <w:r w:rsidR="00CD2E96" w:rsidRPr="00D120AC">
        <w:rPr>
          <w:lang w:val="en-CA"/>
        </w:rPr>
        <w:t xml:space="preserve"> (Figure </w:t>
      </w:r>
      <w:r w:rsidR="00310D76">
        <w:rPr>
          <w:lang w:val="en-CA"/>
        </w:rPr>
        <w:t>6</w:t>
      </w:r>
      <w:r w:rsidR="00310D76" w:rsidRPr="00D120AC">
        <w:rPr>
          <w:lang w:val="en-CA"/>
        </w:rPr>
        <w:t>a</w:t>
      </w:r>
      <w:r w:rsidR="00CD2E96" w:rsidRPr="00D120AC">
        <w:rPr>
          <w:lang w:val="en-CA"/>
        </w:rPr>
        <w:t>, b)</w:t>
      </w:r>
      <w:r w:rsidR="005A7699">
        <w:rPr>
          <w:lang w:val="en-CA"/>
        </w:rPr>
        <w:t>. However, these features have larger diameter in the PEO</w:t>
      </w:r>
      <w:r w:rsidR="005A7699" w:rsidRPr="00F14BCB">
        <w:rPr>
          <w:vertAlign w:val="subscript"/>
          <w:lang w:val="en-CA"/>
        </w:rPr>
        <w:t>100k</w:t>
      </w:r>
      <w:r w:rsidR="005A7699">
        <w:rPr>
          <w:lang w:val="en-CA"/>
        </w:rPr>
        <w:t xml:space="preserve"> system, </w:t>
      </w:r>
      <w:r w:rsidR="005A7699">
        <w:rPr>
          <w:lang w:val="en-CA"/>
        </w:rPr>
        <w:lastRenderedPageBreak/>
        <w:t xml:space="preserve">elucidating that they are t-CNF bundles, </w:t>
      </w:r>
      <w:r w:rsidR="00ED1991" w:rsidRPr="00D120AC">
        <w:rPr>
          <w:lang w:val="en-CA"/>
        </w:rPr>
        <w:t>which</w:t>
      </w:r>
      <w:r w:rsidR="00C83FD8">
        <w:rPr>
          <w:lang w:val="en-CA"/>
        </w:rPr>
        <w:t xml:space="preserve"> </w:t>
      </w:r>
      <w:proofErr w:type="gramStart"/>
      <w:r w:rsidR="00C83FD8">
        <w:rPr>
          <w:lang w:val="en-CA"/>
        </w:rPr>
        <w:t>is further supported</w:t>
      </w:r>
      <w:proofErr w:type="gramEnd"/>
      <w:r w:rsidR="00C83FD8">
        <w:rPr>
          <w:lang w:val="en-CA"/>
        </w:rPr>
        <w:t xml:space="preserve"> by the presence of t-CNF bundles in LSCM images and </w:t>
      </w:r>
      <w:r w:rsidR="005A7699">
        <w:rPr>
          <w:lang w:val="en-CA"/>
        </w:rPr>
        <w:t>higher resistance to strain</w:t>
      </w:r>
      <w:r w:rsidR="00C83FD8">
        <w:rPr>
          <w:lang w:val="en-CA"/>
        </w:rPr>
        <w:t xml:space="preserve"> in the PEO</w:t>
      </w:r>
      <w:r w:rsidR="00C83FD8" w:rsidRPr="00F14BCB">
        <w:rPr>
          <w:vertAlign w:val="subscript"/>
          <w:lang w:val="en-CA"/>
        </w:rPr>
        <w:t xml:space="preserve">100k </w:t>
      </w:r>
      <w:r w:rsidR="00C83FD8">
        <w:rPr>
          <w:lang w:val="en-CA"/>
        </w:rPr>
        <w:t>system</w:t>
      </w:r>
      <w:r w:rsidR="005A7699">
        <w:rPr>
          <w:lang w:val="en-CA"/>
        </w:rPr>
        <w:t>.</w:t>
      </w:r>
    </w:p>
    <w:p w14:paraId="497A52E3" w14:textId="71335D9E" w:rsidR="00983CC3" w:rsidRPr="00D120AC" w:rsidRDefault="00A43205" w:rsidP="00983CC3">
      <w:pPr>
        <w:spacing w:line="480" w:lineRule="auto"/>
        <w:jc w:val="center"/>
        <w:rPr>
          <w:lang w:val="en-CA"/>
        </w:rPr>
      </w:pPr>
      <w:r>
        <w:rPr>
          <w:noProof/>
        </w:rPr>
        <w:drawing>
          <wp:inline distT="0" distB="0" distL="0" distR="0" wp14:anchorId="256860F2" wp14:editId="379AD45A">
            <wp:extent cx="5695950" cy="5225631"/>
            <wp:effectExtent l="0" t="0" r="0" b="0"/>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7701" cy="5227237"/>
                    </a:xfrm>
                    <a:prstGeom prst="rect">
                      <a:avLst/>
                    </a:prstGeom>
                    <a:noFill/>
                    <a:ln>
                      <a:noFill/>
                    </a:ln>
                  </pic:spPr>
                </pic:pic>
              </a:graphicData>
            </a:graphic>
          </wp:inline>
        </w:drawing>
      </w:r>
    </w:p>
    <w:p w14:paraId="1E961F47" w14:textId="4E1556BB" w:rsidR="00983CC3" w:rsidRPr="00D120AC" w:rsidRDefault="009E7CC9" w:rsidP="0017000A">
      <w:pPr>
        <w:spacing w:line="480" w:lineRule="auto"/>
        <w:jc w:val="center"/>
        <w:rPr>
          <w:lang w:val="en-CA"/>
        </w:rPr>
      </w:pPr>
      <w:r w:rsidRPr="00D120AC">
        <w:rPr>
          <w:noProof/>
          <w:lang w:val="en-CA"/>
        </w:rPr>
        <w:lastRenderedPageBreak/>
        <w:drawing>
          <wp:inline distT="0" distB="0" distL="0" distR="0" wp14:anchorId="4C3688D4" wp14:editId="4BD32182">
            <wp:extent cx="4229100" cy="2509396"/>
            <wp:effectExtent l="0" t="0" r="0" b="5715"/>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2291" cy="2535024"/>
                    </a:xfrm>
                    <a:prstGeom prst="rect">
                      <a:avLst/>
                    </a:prstGeom>
                    <a:noFill/>
                    <a:ln>
                      <a:noFill/>
                    </a:ln>
                  </pic:spPr>
                </pic:pic>
              </a:graphicData>
            </a:graphic>
          </wp:inline>
        </w:drawing>
      </w:r>
    </w:p>
    <w:p w14:paraId="63AA55D2" w14:textId="03320A5C" w:rsidR="00983CC3" w:rsidRPr="00D120AC" w:rsidRDefault="00565E86" w:rsidP="005F7E3B">
      <w:pPr>
        <w:rPr>
          <w:lang w:val="en-CA"/>
        </w:rPr>
      </w:pPr>
      <w:r w:rsidRPr="00D120AC">
        <w:rPr>
          <w:b/>
          <w:bCs/>
          <w:lang w:val="en-CA"/>
        </w:rPr>
        <w:t xml:space="preserve">Figure </w:t>
      </w:r>
      <w:r w:rsidR="00310D76">
        <w:rPr>
          <w:b/>
          <w:bCs/>
          <w:lang w:val="en-CA"/>
        </w:rPr>
        <w:t>6</w:t>
      </w:r>
      <w:r w:rsidR="005F7E3B" w:rsidRPr="00D120AC">
        <w:rPr>
          <w:b/>
          <w:bCs/>
          <w:lang w:val="en-CA"/>
        </w:rPr>
        <w:t>.</w:t>
      </w:r>
      <w:r w:rsidR="009E7CC9" w:rsidRPr="00D120AC">
        <w:rPr>
          <w:lang w:val="en-CA"/>
        </w:rPr>
        <w:t xml:space="preserve"> </w:t>
      </w:r>
      <w:proofErr w:type="spellStart"/>
      <w:proofErr w:type="gramStart"/>
      <w:r w:rsidR="004B197B" w:rsidRPr="00D120AC">
        <w:rPr>
          <w:lang w:val="en-CA"/>
        </w:rPr>
        <w:t>a,b</w:t>
      </w:r>
      <w:proofErr w:type="spellEnd"/>
      <w:proofErr w:type="gramEnd"/>
      <w:r w:rsidR="004B197B" w:rsidRPr="00D120AC">
        <w:rPr>
          <w:lang w:val="en-CA"/>
        </w:rPr>
        <w:t xml:space="preserve">) CSPEs topography, </w:t>
      </w:r>
      <w:proofErr w:type="spellStart"/>
      <w:r w:rsidR="004B197B" w:rsidRPr="00D120AC">
        <w:rPr>
          <w:lang w:val="en-CA"/>
        </w:rPr>
        <w:t>c,d</w:t>
      </w:r>
      <w:proofErr w:type="spellEnd"/>
      <w:r w:rsidR="004B197B" w:rsidRPr="00D120AC">
        <w:rPr>
          <w:lang w:val="en-CA"/>
        </w:rPr>
        <w:t>) ESM signal amplitude, e) contact resonance frequency</w:t>
      </w:r>
      <w:r w:rsidR="0027299E" w:rsidRPr="00D120AC">
        <w:rPr>
          <w:lang w:val="en-CA"/>
        </w:rPr>
        <w:t>.</w:t>
      </w:r>
    </w:p>
    <w:p w14:paraId="14B532AE" w14:textId="46B32B5A" w:rsidR="00565E86" w:rsidRDefault="00565E86" w:rsidP="005F7E3B">
      <w:pPr>
        <w:spacing w:line="480" w:lineRule="auto"/>
        <w:rPr>
          <w:lang w:val="en-CA"/>
        </w:rPr>
      </w:pPr>
    </w:p>
    <w:p w14:paraId="7B8CC056" w14:textId="685B4AA4" w:rsidR="00310D76" w:rsidRPr="00D120AC" w:rsidRDefault="00310D76" w:rsidP="00310D76">
      <w:pPr>
        <w:spacing w:line="480" w:lineRule="auto"/>
        <w:ind w:firstLine="720"/>
        <w:rPr>
          <w:color w:val="000000" w:themeColor="text1"/>
          <w:lang w:val="en-CA"/>
        </w:rPr>
      </w:pPr>
      <w:r w:rsidRPr="00D120AC">
        <w:rPr>
          <w:lang w:val="en-CA"/>
        </w:rPr>
        <w:t xml:space="preserve">Solid-state </w:t>
      </w:r>
      <w:r w:rsidRPr="00D120AC">
        <w:rPr>
          <w:vertAlign w:val="superscript"/>
          <w:lang w:val="en-CA"/>
        </w:rPr>
        <w:t>7</w:t>
      </w:r>
      <w:r w:rsidRPr="00D120AC">
        <w:rPr>
          <w:lang w:val="en-CA"/>
        </w:rPr>
        <w:t xml:space="preserve">Li NMR spectroscopy was performed to </w:t>
      </w:r>
      <w:r>
        <w:rPr>
          <w:lang w:val="en-CA"/>
        </w:rPr>
        <w:t>determine whet</w:t>
      </w:r>
      <w:r w:rsidR="00FA32D1">
        <w:rPr>
          <w:lang w:val="en-CA"/>
        </w:rPr>
        <w:t>h</w:t>
      </w:r>
      <w:r>
        <w:rPr>
          <w:lang w:val="en-CA"/>
        </w:rPr>
        <w:t>er</w:t>
      </w:r>
      <w:r w:rsidRPr="00D120AC">
        <w:rPr>
          <w:lang w:val="en-CA"/>
        </w:rPr>
        <w:t xml:space="preserve"> the t-CNF plays </w:t>
      </w:r>
      <w:r>
        <w:rPr>
          <w:lang w:val="en-CA"/>
        </w:rPr>
        <w:t>any</w:t>
      </w:r>
      <w:r w:rsidRPr="00D120AC">
        <w:rPr>
          <w:lang w:val="en-CA"/>
        </w:rPr>
        <w:t xml:space="preserve"> role in Li</w:t>
      </w:r>
      <w:r w:rsidR="00FA32D1" w:rsidRPr="00FA32D1">
        <w:rPr>
          <w:vertAlign w:val="superscript"/>
          <w:lang w:val="en-CA"/>
        </w:rPr>
        <w:t>+</w:t>
      </w:r>
      <w:r w:rsidRPr="00D120AC">
        <w:rPr>
          <w:lang w:val="en-CA"/>
        </w:rPr>
        <w:t xml:space="preserve"> ion transfer or its contribution to the electrolyte performance </w:t>
      </w:r>
      <w:proofErr w:type="gramStart"/>
      <w:r w:rsidRPr="00D120AC">
        <w:rPr>
          <w:lang w:val="en-CA"/>
        </w:rPr>
        <w:t>mainly based</w:t>
      </w:r>
      <w:proofErr w:type="gramEnd"/>
      <w:r w:rsidRPr="00D120AC">
        <w:rPr>
          <w:lang w:val="en-CA"/>
        </w:rPr>
        <w:t xml:space="preserve"> on morphological reorganization of polymer chains. The solid-state </w:t>
      </w:r>
      <w:r w:rsidRPr="00D120AC">
        <w:rPr>
          <w:vertAlign w:val="superscript"/>
          <w:lang w:val="en-CA"/>
        </w:rPr>
        <w:t>7</w:t>
      </w:r>
      <w:r w:rsidRPr="00D120AC">
        <w:rPr>
          <w:lang w:val="en-CA"/>
        </w:rPr>
        <w:t>Li NMR for the PEO</w:t>
      </w:r>
      <w:r w:rsidRPr="00D120AC">
        <w:rPr>
          <w:vertAlign w:val="subscript"/>
          <w:lang w:val="en-CA"/>
        </w:rPr>
        <w:t>100k</w:t>
      </w:r>
      <w:r w:rsidRPr="00D120AC">
        <w:rPr>
          <w:lang w:val="en-CA"/>
        </w:rPr>
        <w:t xml:space="preserve"> –based composite electrolyte </w:t>
      </w:r>
      <w:proofErr w:type="gramStart"/>
      <w:r w:rsidRPr="00D120AC">
        <w:rPr>
          <w:lang w:val="en-CA"/>
        </w:rPr>
        <w:t>were examined</w:t>
      </w:r>
      <w:proofErr w:type="gramEnd"/>
      <w:r w:rsidRPr="00D120AC">
        <w:rPr>
          <w:lang w:val="en-CA"/>
        </w:rPr>
        <w:t xml:space="preserve"> before and after chronopotentiometry </w:t>
      </w:r>
      <w:r w:rsidRPr="00D120AC">
        <w:rPr>
          <w:color w:val="000000" w:themeColor="text1"/>
          <w:lang w:val="en-CA"/>
        </w:rPr>
        <w:t xml:space="preserve">(Figure </w:t>
      </w:r>
      <w:r>
        <w:rPr>
          <w:color w:val="000000" w:themeColor="text1"/>
          <w:lang w:val="en-CA"/>
        </w:rPr>
        <w:t>7</w:t>
      </w:r>
      <w:r w:rsidRPr="00D120AC">
        <w:rPr>
          <w:color w:val="000000" w:themeColor="text1"/>
          <w:lang w:val="en-CA"/>
        </w:rPr>
        <w:t xml:space="preserve">). As can be seen from </w:t>
      </w:r>
      <w:r w:rsidRPr="00D120AC">
        <w:rPr>
          <w:color w:val="000000" w:themeColor="text1"/>
          <w:vertAlign w:val="superscript"/>
          <w:lang w:val="en-CA"/>
        </w:rPr>
        <w:t>7</w:t>
      </w:r>
      <w:r w:rsidRPr="00D120AC">
        <w:rPr>
          <w:color w:val="000000" w:themeColor="text1"/>
          <w:lang w:val="en-CA"/>
        </w:rPr>
        <w:t xml:space="preserve">Li MAS NMR spectra, in both cases a </w:t>
      </w:r>
      <w:proofErr w:type="gramStart"/>
      <w:r w:rsidRPr="00D120AC">
        <w:rPr>
          <w:color w:val="000000" w:themeColor="text1"/>
          <w:lang w:val="en-CA"/>
        </w:rPr>
        <w:t>virtually identical</w:t>
      </w:r>
      <w:proofErr w:type="gramEnd"/>
      <w:r w:rsidRPr="00D120AC">
        <w:rPr>
          <w:color w:val="000000" w:themeColor="text1"/>
          <w:lang w:val="en-CA"/>
        </w:rPr>
        <w:t xml:space="preserve"> single resonance (</w:t>
      </w:r>
      <w:proofErr w:type="spellStart"/>
      <w:r w:rsidRPr="00D120AC">
        <w:rPr>
          <w:color w:val="000000" w:themeColor="text1"/>
          <w:lang w:val="en-CA"/>
        </w:rPr>
        <w:t>δ</w:t>
      </w:r>
      <w:r w:rsidRPr="00D120AC">
        <w:rPr>
          <w:color w:val="000000" w:themeColor="text1"/>
          <w:vertAlign w:val="subscript"/>
          <w:lang w:val="en-CA"/>
        </w:rPr>
        <w:t>iso</w:t>
      </w:r>
      <w:proofErr w:type="spellEnd"/>
      <w:r w:rsidRPr="00D120AC">
        <w:rPr>
          <w:color w:val="000000" w:themeColor="text1"/>
          <w:lang w:val="en-CA"/>
        </w:rPr>
        <w:t xml:space="preserve"> = -0.6 ppm and FWHM = 0.4 ppm) is observed. This resonance is associated with Li ions distributed in PEO as LiClO</w:t>
      </w:r>
      <w:r w:rsidRPr="00D120AC">
        <w:rPr>
          <w:color w:val="000000" w:themeColor="text1"/>
          <w:vertAlign w:val="subscript"/>
          <w:lang w:val="en-CA"/>
        </w:rPr>
        <w:t>4</w:t>
      </w:r>
      <w:r w:rsidRPr="00D120AC">
        <w:rPr>
          <w:color w:val="000000" w:themeColor="text1"/>
          <w:lang w:val="en-CA"/>
        </w:rPr>
        <w:t xml:space="preserve"> as reported previously,</w:t>
      </w:r>
      <w:r w:rsidR="00821A8B" w:rsidRPr="00821A8B">
        <w:rPr>
          <w:color w:val="000000" w:themeColor="text1"/>
          <w:vertAlign w:val="superscript"/>
          <w:lang w:val="en-CA"/>
        </w:rPr>
        <w:t xml:space="preserve"> </w:t>
      </w:r>
      <w:proofErr w:type="gramStart"/>
      <w:r w:rsidR="00B15BDB">
        <w:rPr>
          <w:color w:val="000000" w:themeColor="text1"/>
          <w:vertAlign w:val="superscript"/>
          <w:lang w:val="en-CA"/>
        </w:rPr>
        <w:t>49</w:t>
      </w:r>
      <w:proofErr w:type="gramEnd"/>
      <w:r w:rsidRPr="00D120AC">
        <w:rPr>
          <w:color w:val="000000" w:themeColor="text1"/>
          <w:lang w:val="en-CA"/>
        </w:rPr>
        <w:t xml:space="preserve"> while no evidence of dendritic formation post-charging was found. The NMR data for the non-spinning samples further support the conclusion that the t-CNF does not change the local Li ion chemical environment (linewidth ~ 1 ppm for non-spinning samples), since both the chemical shift and linewidth would be sensitive to the ion location and dynamics (for example upon LiClO</w:t>
      </w:r>
      <w:r w:rsidRPr="00D120AC">
        <w:rPr>
          <w:color w:val="000000" w:themeColor="text1"/>
          <w:vertAlign w:val="subscript"/>
          <w:lang w:val="en-CA"/>
        </w:rPr>
        <w:t>4</w:t>
      </w:r>
      <w:r w:rsidRPr="00D120AC">
        <w:rPr>
          <w:color w:val="000000" w:themeColor="text1"/>
          <w:lang w:val="en-CA"/>
        </w:rPr>
        <w:t xml:space="preserve"> dissociation or Li-ion conduction), supporting a rather freely mobile Li ion at room temperature. These findings support our hypothesis that any changes in Li ion transfer can </w:t>
      </w:r>
      <w:proofErr w:type="gramStart"/>
      <w:r w:rsidRPr="00D120AC">
        <w:rPr>
          <w:color w:val="000000" w:themeColor="text1"/>
          <w:lang w:val="en-CA"/>
        </w:rPr>
        <w:t>be attributed</w:t>
      </w:r>
      <w:proofErr w:type="gramEnd"/>
      <w:r w:rsidRPr="00D120AC">
        <w:rPr>
          <w:color w:val="000000" w:themeColor="text1"/>
          <w:lang w:val="en-CA"/>
        </w:rPr>
        <w:t xml:space="preserve"> to </w:t>
      </w:r>
      <w:r w:rsidR="009477BD">
        <w:rPr>
          <w:color w:val="000000" w:themeColor="text1"/>
          <w:lang w:val="en-CA"/>
        </w:rPr>
        <w:t>microstructural change</w:t>
      </w:r>
      <w:r w:rsidRPr="00D120AC">
        <w:rPr>
          <w:color w:val="000000" w:themeColor="text1"/>
          <w:lang w:val="en-CA"/>
        </w:rPr>
        <w:t xml:space="preserve"> (</w:t>
      </w:r>
      <w:r w:rsidR="009477BD">
        <w:rPr>
          <w:color w:val="000000" w:themeColor="text1"/>
          <w:lang w:val="en-CA"/>
        </w:rPr>
        <w:t>inherent difference</w:t>
      </w:r>
      <w:r w:rsidR="009477BD" w:rsidRPr="00D120AC">
        <w:rPr>
          <w:color w:val="000000" w:themeColor="text1"/>
          <w:lang w:val="en-CA"/>
        </w:rPr>
        <w:t xml:space="preserve"> </w:t>
      </w:r>
      <w:r w:rsidRPr="00D120AC">
        <w:rPr>
          <w:color w:val="000000" w:themeColor="text1"/>
          <w:lang w:val="en-CA"/>
        </w:rPr>
        <w:t xml:space="preserve">in segmental motion of PEO </w:t>
      </w:r>
      <w:r w:rsidR="009477BD">
        <w:rPr>
          <w:color w:val="000000" w:themeColor="text1"/>
          <w:lang w:val="en-CA"/>
        </w:rPr>
        <w:t>with different chain lengths</w:t>
      </w:r>
      <w:r w:rsidRPr="00D120AC">
        <w:rPr>
          <w:color w:val="000000" w:themeColor="text1"/>
          <w:lang w:val="en-CA"/>
        </w:rPr>
        <w:t xml:space="preserve"> and</w:t>
      </w:r>
      <w:r w:rsidR="009477BD">
        <w:rPr>
          <w:color w:val="000000" w:themeColor="text1"/>
          <w:lang w:val="en-CA"/>
        </w:rPr>
        <w:t xml:space="preserve"> alteration of spherulitic growth by the presence of t-CNF</w:t>
      </w:r>
      <w:r w:rsidRPr="00D120AC">
        <w:rPr>
          <w:color w:val="000000" w:themeColor="text1"/>
          <w:lang w:val="en-CA"/>
        </w:rPr>
        <w:t>)</w:t>
      </w:r>
      <w:r w:rsidR="009477BD">
        <w:rPr>
          <w:color w:val="000000" w:themeColor="text1"/>
          <w:lang w:val="en-CA"/>
        </w:rPr>
        <w:t>.</w:t>
      </w:r>
    </w:p>
    <w:p w14:paraId="61BBAB3C" w14:textId="70AF5AC9" w:rsidR="00310D76" w:rsidRPr="00D120AC" w:rsidRDefault="005F0AE0" w:rsidP="00310D76">
      <w:pPr>
        <w:spacing w:line="480" w:lineRule="auto"/>
        <w:jc w:val="center"/>
        <w:rPr>
          <w:color w:val="000000" w:themeColor="text1"/>
          <w:lang w:val="en-CA"/>
        </w:rPr>
      </w:pPr>
      <w:r>
        <w:rPr>
          <w:noProof/>
        </w:rPr>
        <w:lastRenderedPageBreak/>
        <w:drawing>
          <wp:inline distT="0" distB="0" distL="0" distR="0" wp14:anchorId="33B83A51" wp14:editId="664AC5FC">
            <wp:extent cx="4597879" cy="3376306"/>
            <wp:effectExtent l="0" t="0" r="0" b="0"/>
            <wp:docPr id="8" name="Picture 8" descr="Diagram, shape,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ape, engineering draw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4183" cy="3380935"/>
                    </a:xfrm>
                    <a:prstGeom prst="rect">
                      <a:avLst/>
                    </a:prstGeom>
                    <a:noFill/>
                    <a:ln>
                      <a:noFill/>
                    </a:ln>
                  </pic:spPr>
                </pic:pic>
              </a:graphicData>
            </a:graphic>
          </wp:inline>
        </w:drawing>
      </w:r>
    </w:p>
    <w:p w14:paraId="77A510B5" w14:textId="46C02217" w:rsidR="00310D76" w:rsidRPr="00D120AC" w:rsidRDefault="00310D76" w:rsidP="00310D76">
      <w:pPr>
        <w:rPr>
          <w:bCs/>
          <w:lang w:val="en-CA"/>
        </w:rPr>
      </w:pPr>
      <w:r w:rsidRPr="00D120AC">
        <w:rPr>
          <w:b/>
          <w:lang w:val="en-CA"/>
        </w:rPr>
        <w:t xml:space="preserve">Figure </w:t>
      </w:r>
      <w:r>
        <w:rPr>
          <w:b/>
          <w:lang w:val="en-CA"/>
        </w:rPr>
        <w:t>7</w:t>
      </w:r>
      <w:r w:rsidRPr="00D120AC">
        <w:rPr>
          <w:b/>
          <w:lang w:val="en-CA"/>
        </w:rPr>
        <w:t>.</w:t>
      </w:r>
      <w:r w:rsidRPr="00D120AC">
        <w:rPr>
          <w:bCs/>
          <w:lang w:val="en-CA"/>
        </w:rPr>
        <w:t xml:space="preserve"> 7 Li NMR spectra for MAS (left, 5 kHz) and non-spinning (right) samples acquired before (lower traces) and after (upper traces) chronopotentiometry. Spectra </w:t>
      </w:r>
      <w:proofErr w:type="gramStart"/>
      <w:r w:rsidRPr="00D120AC">
        <w:rPr>
          <w:bCs/>
          <w:lang w:val="en-CA"/>
        </w:rPr>
        <w:t>were acquired</w:t>
      </w:r>
      <w:proofErr w:type="gramEnd"/>
      <w:r w:rsidRPr="00D120AC">
        <w:rPr>
          <w:bCs/>
          <w:lang w:val="en-CA"/>
        </w:rPr>
        <w:t xml:space="preserve"> at 9.4 T (155.6 MHz).</w:t>
      </w:r>
    </w:p>
    <w:p w14:paraId="36C7A76E" w14:textId="240F147D" w:rsidR="00872A4B" w:rsidRPr="00D120AC" w:rsidRDefault="00872A4B" w:rsidP="00872A4B">
      <w:pPr>
        <w:spacing w:line="480" w:lineRule="auto"/>
        <w:ind w:firstLine="720"/>
        <w:rPr>
          <w:color w:val="000000" w:themeColor="text1"/>
          <w:lang w:val="en-CA"/>
        </w:rPr>
      </w:pPr>
      <w:r w:rsidRPr="00D120AC">
        <w:rPr>
          <w:lang w:val="en-CA"/>
        </w:rPr>
        <w:t xml:space="preserve">Chronopotentiomenty (CP) </w:t>
      </w:r>
      <w:r w:rsidR="00310D76">
        <w:rPr>
          <w:lang w:val="en-CA"/>
        </w:rPr>
        <w:t>experiments were</w:t>
      </w:r>
      <w:r w:rsidR="00310D76" w:rsidRPr="00D120AC">
        <w:rPr>
          <w:lang w:val="en-CA"/>
        </w:rPr>
        <w:t xml:space="preserve"> </w:t>
      </w:r>
      <w:r w:rsidRPr="00D120AC">
        <w:rPr>
          <w:lang w:val="en-CA"/>
        </w:rPr>
        <w:t>carried out on the PEO</w:t>
      </w:r>
      <w:r w:rsidRPr="00D120AC">
        <w:rPr>
          <w:vertAlign w:val="subscript"/>
          <w:lang w:val="en-CA"/>
        </w:rPr>
        <w:t>100k</w:t>
      </w:r>
      <w:r w:rsidRPr="00D120AC">
        <w:rPr>
          <w:lang w:val="en-CA"/>
        </w:rPr>
        <w:t xml:space="preserve"> electrolyte (as a control), PEO</w:t>
      </w:r>
      <w:r w:rsidRPr="00D120AC">
        <w:rPr>
          <w:vertAlign w:val="subscript"/>
          <w:lang w:val="en-CA"/>
        </w:rPr>
        <w:t>100k</w:t>
      </w:r>
      <w:r w:rsidRPr="00D120AC">
        <w:rPr>
          <w:lang w:val="en-CA"/>
        </w:rPr>
        <w:t>+LiClO</w:t>
      </w:r>
      <w:r w:rsidRPr="00D120AC">
        <w:rPr>
          <w:vertAlign w:val="subscript"/>
          <w:lang w:val="en-CA"/>
        </w:rPr>
        <w:t>4</w:t>
      </w:r>
      <w:r w:rsidRPr="00D120AC">
        <w:rPr>
          <w:lang w:val="en-CA"/>
        </w:rPr>
        <w:t>(t-CNF20wt%), and PEO</w:t>
      </w:r>
      <w:r w:rsidRPr="00D120AC">
        <w:rPr>
          <w:vertAlign w:val="subscript"/>
          <w:lang w:val="en-CA"/>
        </w:rPr>
        <w:t>4k</w:t>
      </w:r>
      <w:r w:rsidRPr="00D120AC">
        <w:rPr>
          <w:lang w:val="en-CA"/>
        </w:rPr>
        <w:t>+LiClO</w:t>
      </w:r>
      <w:r w:rsidRPr="00D120AC">
        <w:rPr>
          <w:vertAlign w:val="subscript"/>
          <w:lang w:val="en-CA"/>
        </w:rPr>
        <w:t>4</w:t>
      </w:r>
      <w:r w:rsidRPr="00D120AC">
        <w:rPr>
          <w:lang w:val="en-CA"/>
        </w:rPr>
        <w:t>(t-CNF20wt%) to obtain the Li stripping/plating voltage profiles for the Li symmetrical cells as shown in Fig. 5a. Electrolytes without t-CNF could not withstand cycling at 65 ºC, mainly caused by the complete melting of PEO</w:t>
      </w:r>
      <w:r w:rsidRPr="00D120AC">
        <w:rPr>
          <w:vertAlign w:val="subscript"/>
          <w:lang w:val="en-CA"/>
        </w:rPr>
        <w:t>100k</w:t>
      </w:r>
      <w:r w:rsidRPr="00D120AC">
        <w:rPr>
          <w:lang w:val="en-CA"/>
        </w:rPr>
        <w:t xml:space="preserve"> which led to the loss of mechanical integrity and the immediate short-circuiting through the liquid-like polymer phase thereafter (Figure </w:t>
      </w:r>
      <w:r w:rsidR="00310D76">
        <w:rPr>
          <w:lang w:val="en-CA"/>
        </w:rPr>
        <w:t>8</w:t>
      </w:r>
      <w:r w:rsidR="00310D76" w:rsidRPr="00D120AC">
        <w:rPr>
          <w:lang w:val="en-CA"/>
        </w:rPr>
        <w:t>a</w:t>
      </w:r>
      <w:r w:rsidRPr="00D120AC">
        <w:rPr>
          <w:lang w:val="en-CA"/>
        </w:rPr>
        <w:t xml:space="preserve">). </w:t>
      </w:r>
      <w:r w:rsidR="009477BD">
        <w:rPr>
          <w:lang w:val="en-CA"/>
        </w:rPr>
        <w:t>T</w:t>
      </w:r>
      <w:r w:rsidRPr="00D120AC">
        <w:rPr>
          <w:lang w:val="en-CA"/>
        </w:rPr>
        <w:t>he addition of t-CNFs</w:t>
      </w:r>
      <w:r w:rsidR="009477BD">
        <w:rPr>
          <w:lang w:val="en-CA"/>
        </w:rPr>
        <w:t xml:space="preserve"> resulted in</w:t>
      </w:r>
      <w:r w:rsidRPr="00D120AC">
        <w:rPr>
          <w:lang w:val="en-CA"/>
        </w:rPr>
        <w:t xml:space="preserve"> a significant improvement in </w:t>
      </w:r>
      <w:r w:rsidR="009477BD">
        <w:rPr>
          <w:lang w:val="en-CA"/>
        </w:rPr>
        <w:t>long-term stability</w:t>
      </w:r>
      <w:r w:rsidRPr="00D120AC">
        <w:rPr>
          <w:lang w:val="en-CA"/>
        </w:rPr>
        <w:t xml:space="preserve">. At 65ºC, CSPE samples containing both low and high MW PEO were able to withstand prolonged cycling at a current density of 0.05 mA </w:t>
      </w:r>
      <w:proofErr w:type="gramStart"/>
      <w:r w:rsidRPr="00D120AC">
        <w:rPr>
          <w:lang w:val="en-CA"/>
        </w:rPr>
        <w:t>cm</w:t>
      </w:r>
      <w:r w:rsidRPr="00D120AC">
        <w:rPr>
          <w:vertAlign w:val="superscript"/>
          <w:lang w:val="en-CA"/>
        </w:rPr>
        <w:t>-2</w:t>
      </w:r>
      <w:proofErr w:type="gramEnd"/>
      <w:r w:rsidRPr="00D120AC">
        <w:rPr>
          <w:lang w:val="en-CA"/>
        </w:rPr>
        <w:t xml:space="preserve">. This can </w:t>
      </w:r>
      <w:proofErr w:type="gramStart"/>
      <w:r w:rsidRPr="00D120AC">
        <w:rPr>
          <w:lang w:val="en-CA"/>
        </w:rPr>
        <w:t>be attributed</w:t>
      </w:r>
      <w:proofErr w:type="gramEnd"/>
      <w:r w:rsidRPr="00D120AC">
        <w:rPr>
          <w:lang w:val="en-CA"/>
        </w:rPr>
        <w:t xml:space="preserve"> to the significant physical reinforcement of the PEO phase by the t-CNF network. However, after increasing the current density to 0.2 mA cm</w:t>
      </w:r>
      <w:r w:rsidRPr="00D120AC">
        <w:rPr>
          <w:vertAlign w:val="superscript"/>
          <w:lang w:val="en-CA"/>
        </w:rPr>
        <w:t>-2</w:t>
      </w:r>
      <w:r w:rsidRPr="00D120AC">
        <w:rPr>
          <w:lang w:val="en-CA"/>
        </w:rPr>
        <w:t xml:space="preserve"> in a cell with PEO</w:t>
      </w:r>
      <w:r w:rsidRPr="00D120AC">
        <w:rPr>
          <w:vertAlign w:val="subscript"/>
          <w:lang w:val="en-CA"/>
        </w:rPr>
        <w:t>4k</w:t>
      </w:r>
      <w:r w:rsidRPr="00D120AC">
        <w:rPr>
          <w:lang w:val="en-CA"/>
        </w:rPr>
        <w:t xml:space="preserve">-based CSPEs, overpotential started increasing and shortly reached </w:t>
      </w:r>
      <w:proofErr w:type="gramStart"/>
      <w:r w:rsidRPr="00D120AC">
        <w:rPr>
          <w:lang w:val="en-CA"/>
        </w:rPr>
        <w:t>very high</w:t>
      </w:r>
      <w:proofErr w:type="gramEnd"/>
      <w:r w:rsidRPr="00D120AC">
        <w:rPr>
          <w:lang w:val="en-CA"/>
        </w:rPr>
        <w:t xml:space="preserve"> values (Figure </w:t>
      </w:r>
      <w:r w:rsidR="00310D76">
        <w:rPr>
          <w:lang w:val="en-CA"/>
        </w:rPr>
        <w:t>8</w:t>
      </w:r>
      <w:r w:rsidR="00310D76" w:rsidRPr="00D120AC">
        <w:rPr>
          <w:lang w:val="en-CA"/>
        </w:rPr>
        <w:t xml:space="preserve">a </w:t>
      </w:r>
      <w:r w:rsidRPr="00D120AC">
        <w:rPr>
          <w:lang w:val="en-CA"/>
        </w:rPr>
        <w:t xml:space="preserve">and </w:t>
      </w:r>
      <w:r w:rsidR="00310D76">
        <w:rPr>
          <w:lang w:val="en-CA"/>
        </w:rPr>
        <w:t>8</w:t>
      </w:r>
      <w:r w:rsidR="00310D76" w:rsidRPr="00D120AC">
        <w:rPr>
          <w:lang w:val="en-CA"/>
        </w:rPr>
        <w:t>b</w:t>
      </w:r>
      <w:r w:rsidRPr="00D120AC">
        <w:rPr>
          <w:lang w:val="en-CA"/>
        </w:rPr>
        <w:t>). Only the PEO</w:t>
      </w:r>
      <w:r w:rsidRPr="00D120AC">
        <w:rPr>
          <w:vertAlign w:val="subscript"/>
          <w:lang w:val="en-CA"/>
        </w:rPr>
        <w:t>100k</w:t>
      </w:r>
      <w:r w:rsidRPr="00D120AC">
        <w:rPr>
          <w:lang w:val="en-CA"/>
        </w:rPr>
        <w:t xml:space="preserve">-based CSPE showed highly stable cycling behaviour for more than 150 hours, regardless of the current density applied. We attribute the high stability </w:t>
      </w:r>
      <w:r w:rsidRPr="00D120AC">
        <w:rPr>
          <w:lang w:val="en-CA"/>
        </w:rPr>
        <w:lastRenderedPageBreak/>
        <w:t xml:space="preserve">to the synergistic effect of the isolated tight spherulitic structures obtained with longer polymer chains and the presence of the strong t-CNF network </w:t>
      </w:r>
      <w:r w:rsidR="00D05109">
        <w:rPr>
          <w:lang w:val="en-CA"/>
        </w:rPr>
        <w:t xml:space="preserve">derived from bundles of fibers </w:t>
      </w:r>
      <w:r w:rsidR="00C356F6">
        <w:rPr>
          <w:lang w:val="en-CA"/>
        </w:rPr>
        <w:t>resisting</w:t>
      </w:r>
      <w:r w:rsidR="00D05109">
        <w:rPr>
          <w:lang w:val="en-CA"/>
        </w:rPr>
        <w:t xml:space="preserve"> </w:t>
      </w:r>
      <w:r w:rsidRPr="00D120AC">
        <w:rPr>
          <w:lang w:val="en-CA"/>
        </w:rPr>
        <w:t>the Li dendrites growth (Figure 3j). In contrast, PEO</w:t>
      </w:r>
      <w:r w:rsidRPr="00D120AC">
        <w:rPr>
          <w:vertAlign w:val="subscript"/>
          <w:lang w:val="en-CA"/>
        </w:rPr>
        <w:t>4k</w:t>
      </w:r>
      <w:r w:rsidRPr="00D120AC">
        <w:rPr>
          <w:lang w:val="en-CA"/>
        </w:rPr>
        <w:t xml:space="preserve">-based CSPE microstructure showed a more uniform t-CNF </w:t>
      </w:r>
      <w:r w:rsidR="00D05109">
        <w:rPr>
          <w:lang w:val="en-CA"/>
        </w:rPr>
        <w:t>distribution</w:t>
      </w:r>
      <w:r w:rsidR="00D05109" w:rsidRPr="00D120AC">
        <w:rPr>
          <w:lang w:val="en-CA"/>
        </w:rPr>
        <w:t xml:space="preserve"> </w:t>
      </w:r>
      <w:r w:rsidRPr="00D120AC">
        <w:rPr>
          <w:lang w:val="en-CA"/>
        </w:rPr>
        <w:t>which spanned larger but looser spherulitic structures. Consequently, its mechanical robustness against the Li dendrite growth was lower which led to short circuiting. The above results are consistent with the viscoelastic properties presented earlier, which indicated higher resistance to strain of the PEO</w:t>
      </w:r>
      <w:r w:rsidRPr="00D120AC">
        <w:rPr>
          <w:vertAlign w:val="subscript"/>
          <w:lang w:val="en-CA"/>
        </w:rPr>
        <w:t>100k</w:t>
      </w:r>
      <w:r w:rsidRPr="00D120AC">
        <w:rPr>
          <w:lang w:val="en-CA"/>
        </w:rPr>
        <w:t xml:space="preserve"> system. </w:t>
      </w:r>
      <w:r w:rsidRPr="00D120AC">
        <w:rPr>
          <w:color w:val="000000" w:themeColor="text1"/>
          <w:lang w:val="en-CA"/>
        </w:rPr>
        <w:t>At the beginning of dendrite growth, the three-dimensional t-CNF network persists in both systems. Due to the stress imposed by growing Li dendrites, the breakdown of the structure begins with the formation of micro cracks in CPSEs. As the strain increases, a macro crack finally can rupture through the sample. In the PEO</w:t>
      </w:r>
      <w:r w:rsidRPr="00D120AC">
        <w:rPr>
          <w:color w:val="000000" w:themeColor="text1"/>
          <w:vertAlign w:val="subscript"/>
          <w:lang w:val="en-CA"/>
        </w:rPr>
        <w:t>100k</w:t>
      </w:r>
      <w:r w:rsidRPr="00D120AC">
        <w:rPr>
          <w:color w:val="000000" w:themeColor="text1"/>
          <w:lang w:val="en-CA"/>
        </w:rPr>
        <w:t xml:space="preserve"> system, the combination of the strong t-CNF bundle network and high entanglement of PEO chains (longer relaxation times) synergistically contribute to the enhanced resistance to the dendrite growth and enhance their long-term stability.</w:t>
      </w:r>
    </w:p>
    <w:p w14:paraId="246F0AD8" w14:textId="1410F604" w:rsidR="00872A4B" w:rsidRDefault="00872A4B" w:rsidP="00872A4B">
      <w:pPr>
        <w:spacing w:line="480" w:lineRule="auto"/>
        <w:ind w:firstLine="720"/>
        <w:contextualSpacing/>
        <w:rPr>
          <w:lang w:val="en-CA"/>
        </w:rPr>
      </w:pPr>
      <w:r w:rsidRPr="00D120AC">
        <w:rPr>
          <w:lang w:val="en-CA"/>
        </w:rPr>
        <w:t xml:space="preserve">The cycling behaviour of CSPEs in the temperature region beyond the melting point of PEO has not </w:t>
      </w:r>
      <w:proofErr w:type="gramStart"/>
      <w:r w:rsidRPr="00D120AC">
        <w:rPr>
          <w:lang w:val="en-CA"/>
        </w:rPr>
        <w:t>been investigated</w:t>
      </w:r>
      <w:proofErr w:type="gramEnd"/>
      <w:r w:rsidRPr="00D120AC">
        <w:rPr>
          <w:lang w:val="en-CA"/>
        </w:rPr>
        <w:t xml:space="preserve"> previously. To accurately assess the t-CNF network contribution to the Li dendrite suppression within the CSPEs, Li stripping/platting tests were </w:t>
      </w:r>
      <w:proofErr w:type="gramStart"/>
      <w:r w:rsidRPr="00D120AC">
        <w:rPr>
          <w:lang w:val="en-CA"/>
        </w:rPr>
        <w:t>carried out</w:t>
      </w:r>
      <w:proofErr w:type="gramEnd"/>
      <w:r w:rsidRPr="00D120AC">
        <w:rPr>
          <w:lang w:val="en-CA"/>
        </w:rPr>
        <w:t xml:space="preserve"> at 85 ºC. In Figure </w:t>
      </w:r>
      <w:r w:rsidR="00310D76">
        <w:rPr>
          <w:lang w:val="en-CA"/>
        </w:rPr>
        <w:t>8</w:t>
      </w:r>
      <w:r w:rsidRPr="00D120AC">
        <w:rPr>
          <w:lang w:val="en-CA"/>
        </w:rPr>
        <w:t>c, CP results demonstrate the high stability of PEO</w:t>
      </w:r>
      <w:r w:rsidRPr="00D120AC">
        <w:rPr>
          <w:vertAlign w:val="subscript"/>
          <w:lang w:val="en-CA"/>
        </w:rPr>
        <w:t>100k</w:t>
      </w:r>
      <w:r w:rsidRPr="00D120AC">
        <w:rPr>
          <w:lang w:val="en-CA"/>
        </w:rPr>
        <w:t>+LiClO</w:t>
      </w:r>
      <w:r w:rsidRPr="00D120AC">
        <w:rPr>
          <w:vertAlign w:val="subscript"/>
          <w:lang w:val="en-CA"/>
        </w:rPr>
        <w:t>4</w:t>
      </w:r>
      <w:r w:rsidRPr="00D120AC">
        <w:rPr>
          <w:lang w:val="en-CA"/>
        </w:rPr>
        <w:t>(t-CNF20wt%) CSPE. Regardless of the current density, the electrolyte exhibited stable overpotential while the PEO</w:t>
      </w:r>
      <w:r w:rsidRPr="00D120AC">
        <w:rPr>
          <w:vertAlign w:val="subscript"/>
          <w:lang w:val="en-CA"/>
        </w:rPr>
        <w:t>4k</w:t>
      </w:r>
      <w:r w:rsidRPr="00D120AC">
        <w:rPr>
          <w:lang w:val="en-CA"/>
        </w:rPr>
        <w:t>-based sample experienced a short circuit at 0.1 mA cm</w:t>
      </w:r>
      <w:r w:rsidRPr="00D120AC">
        <w:rPr>
          <w:vertAlign w:val="superscript"/>
          <w:lang w:val="en-CA"/>
        </w:rPr>
        <w:t>-2</w:t>
      </w:r>
      <w:r w:rsidRPr="00D120AC">
        <w:rPr>
          <w:lang w:val="en-CA"/>
        </w:rPr>
        <w:t xml:space="preserve"> (Figure </w:t>
      </w:r>
      <w:r w:rsidR="00310D76">
        <w:rPr>
          <w:lang w:val="en-CA"/>
        </w:rPr>
        <w:t>8</w:t>
      </w:r>
      <w:r w:rsidR="00310D76" w:rsidRPr="00D120AC">
        <w:rPr>
          <w:lang w:val="en-CA"/>
        </w:rPr>
        <w:t xml:space="preserve">c </w:t>
      </w:r>
      <w:r w:rsidRPr="00D120AC">
        <w:rPr>
          <w:lang w:val="en-CA"/>
        </w:rPr>
        <w:t xml:space="preserve">and </w:t>
      </w:r>
      <w:r w:rsidR="00310D76">
        <w:rPr>
          <w:lang w:val="en-CA"/>
        </w:rPr>
        <w:t>8</w:t>
      </w:r>
      <w:r w:rsidR="00310D76" w:rsidRPr="00D120AC">
        <w:rPr>
          <w:lang w:val="en-CA"/>
        </w:rPr>
        <w:t>d</w:t>
      </w:r>
      <w:r w:rsidRPr="00D120AC">
        <w:rPr>
          <w:lang w:val="en-CA"/>
        </w:rPr>
        <w:t>). The DSC results (Figure 1a) confirmed that at 85 ºC PEO</w:t>
      </w:r>
      <w:r w:rsidRPr="00D120AC">
        <w:rPr>
          <w:vertAlign w:val="subscript"/>
          <w:lang w:val="en-CA"/>
        </w:rPr>
        <w:t>100k</w:t>
      </w:r>
      <w:r w:rsidRPr="00D120AC">
        <w:rPr>
          <w:lang w:val="en-CA"/>
        </w:rPr>
        <w:t xml:space="preserve"> </w:t>
      </w:r>
      <w:proofErr w:type="gramStart"/>
      <w:r w:rsidRPr="00D120AC">
        <w:rPr>
          <w:lang w:val="en-CA"/>
        </w:rPr>
        <w:t>is completely melted</w:t>
      </w:r>
      <w:proofErr w:type="gramEnd"/>
      <w:r w:rsidRPr="00D120AC">
        <w:rPr>
          <w:lang w:val="en-CA"/>
        </w:rPr>
        <w:t xml:space="preserve"> which suggests that the t-CNF network is the main contributor to the CSPE mechanical integrity and dendrite growth suppression at this temperature. The strong t-CNF bundles along with randomly distributed t-CNF-free regions provide sufficient resistance to dendrite growt</w:t>
      </w:r>
      <w:r w:rsidRPr="001F11F8">
        <w:rPr>
          <w:color w:val="000000" w:themeColor="text1"/>
          <w:lang w:val="en-CA"/>
        </w:rPr>
        <w:t>h</w:t>
      </w:r>
      <w:r w:rsidRPr="008112B8">
        <w:rPr>
          <w:color w:val="000000" w:themeColor="text1"/>
          <w:lang w:val="en-CA"/>
        </w:rPr>
        <w:t>.</w:t>
      </w:r>
      <w:r w:rsidR="001F11F8" w:rsidRPr="008112B8">
        <w:rPr>
          <w:color w:val="000000" w:themeColor="text1"/>
          <w:lang w:val="en-CA"/>
        </w:rPr>
        <w:t xml:space="preserve"> </w:t>
      </w:r>
      <w:r w:rsidR="00D514EA" w:rsidRPr="008112B8">
        <w:rPr>
          <w:rFonts w:cstheme="minorHAnsi"/>
          <w:color w:val="000000" w:themeColor="text1"/>
        </w:rPr>
        <w:t>These findings demonstrate</w:t>
      </w:r>
      <w:r w:rsidR="001F11F8" w:rsidRPr="008112B8">
        <w:rPr>
          <w:rFonts w:cstheme="minorHAnsi"/>
          <w:color w:val="000000" w:themeColor="text1"/>
        </w:rPr>
        <w:t xml:space="preserve"> </w:t>
      </w:r>
      <w:r w:rsidR="00DC59C9" w:rsidRPr="008112B8">
        <w:rPr>
          <w:rFonts w:cstheme="minorHAnsi"/>
          <w:color w:val="000000" w:themeColor="text1"/>
        </w:rPr>
        <w:t xml:space="preserve">that </w:t>
      </w:r>
      <w:r w:rsidR="001F11F8" w:rsidRPr="008112B8">
        <w:rPr>
          <w:rFonts w:cstheme="minorHAnsi"/>
          <w:color w:val="000000" w:themeColor="text1"/>
        </w:rPr>
        <w:t xml:space="preserve">morphology of the spherulites and distribution of nanofillers within </w:t>
      </w:r>
      <w:r w:rsidR="00DC59C9" w:rsidRPr="008112B8">
        <w:rPr>
          <w:rFonts w:cstheme="minorHAnsi"/>
          <w:color w:val="000000" w:themeColor="text1"/>
        </w:rPr>
        <w:t>the CPSE</w:t>
      </w:r>
      <w:r w:rsidR="001F11F8" w:rsidRPr="008112B8">
        <w:rPr>
          <w:rFonts w:cstheme="minorHAnsi"/>
          <w:color w:val="000000" w:themeColor="text1"/>
        </w:rPr>
        <w:t>, matters equally for the conductivity and long-term stability.</w:t>
      </w:r>
      <w:r w:rsidR="00DC59C9">
        <w:rPr>
          <w:rFonts w:cstheme="minorHAnsi"/>
          <w:color w:val="000000" w:themeColor="text1"/>
        </w:rPr>
        <w:t xml:space="preserve">  </w:t>
      </w:r>
    </w:p>
    <w:p w14:paraId="52FFB8D0" w14:textId="77777777" w:rsidR="00872A4B" w:rsidRPr="00D120AC" w:rsidRDefault="00872A4B" w:rsidP="00872A4B">
      <w:pPr>
        <w:spacing w:line="480" w:lineRule="auto"/>
        <w:jc w:val="center"/>
        <w:rPr>
          <w:lang w:val="en-CA"/>
        </w:rPr>
      </w:pPr>
      <w:r w:rsidRPr="00D120AC">
        <w:rPr>
          <w:rFonts w:ascii="Arial" w:hAnsi="Arial" w:cs="Arial"/>
          <w:noProof/>
          <w:lang w:val="en-CA" w:eastAsia="en-CA"/>
        </w:rPr>
        <w:lastRenderedPageBreak/>
        <w:drawing>
          <wp:inline distT="0" distB="0" distL="0" distR="0" wp14:anchorId="08803C1B" wp14:editId="3A8E7F4C">
            <wp:extent cx="2794959" cy="2621435"/>
            <wp:effectExtent l="0" t="0" r="0" b="8255"/>
            <wp:docPr id="24" name="Picture 24" descr="C:\Users\Beavers\Desktop\PAPER FOR PUBLICATION AND GUIDELINES\FIGURES\Tif\Fig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vers\Desktop\PAPER FOR PUBLICATION AND GUIDELINES\FIGURES\Tif\Fig5a.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959" cy="2621435"/>
                    </a:xfrm>
                    <a:prstGeom prst="rect">
                      <a:avLst/>
                    </a:prstGeom>
                    <a:noFill/>
                    <a:ln>
                      <a:noFill/>
                    </a:ln>
                  </pic:spPr>
                </pic:pic>
              </a:graphicData>
            </a:graphic>
          </wp:inline>
        </w:drawing>
      </w:r>
      <w:r w:rsidRPr="00D120AC">
        <w:rPr>
          <w:rFonts w:ascii="Arial" w:hAnsi="Arial" w:cs="Arial"/>
          <w:noProof/>
          <w:lang w:val="en-CA" w:eastAsia="en-CA"/>
        </w:rPr>
        <w:drawing>
          <wp:inline distT="0" distB="0" distL="0" distR="0" wp14:anchorId="07B655E3" wp14:editId="79099FAE">
            <wp:extent cx="2787710" cy="2621280"/>
            <wp:effectExtent l="0" t="0" r="0" b="9525"/>
            <wp:docPr id="25" name="Picture 25" descr="C:\Users\Beavers\Desktop\PAPER FOR PUBLICATION AND GUIDELINES\FIGURES\Tif\Fig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vers\Desktop\PAPER FOR PUBLICATION AND GUIDELINES\FIGURES\Tif\Fig5b.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7710" cy="2621280"/>
                    </a:xfrm>
                    <a:prstGeom prst="rect">
                      <a:avLst/>
                    </a:prstGeom>
                    <a:noFill/>
                    <a:ln>
                      <a:noFill/>
                    </a:ln>
                  </pic:spPr>
                </pic:pic>
              </a:graphicData>
            </a:graphic>
          </wp:inline>
        </w:drawing>
      </w:r>
    </w:p>
    <w:p w14:paraId="3761F42E" w14:textId="77777777" w:rsidR="00872A4B" w:rsidRPr="00D120AC" w:rsidRDefault="00872A4B" w:rsidP="00872A4B">
      <w:pPr>
        <w:spacing w:line="480" w:lineRule="auto"/>
        <w:jc w:val="center"/>
        <w:rPr>
          <w:lang w:val="en-CA"/>
        </w:rPr>
      </w:pPr>
      <w:r w:rsidRPr="00D120AC">
        <w:rPr>
          <w:noProof/>
          <w:lang w:val="en-CA" w:eastAsia="en-CA"/>
        </w:rPr>
        <w:drawing>
          <wp:inline distT="0" distB="0" distL="0" distR="0" wp14:anchorId="013FDB96" wp14:editId="09D7C943">
            <wp:extent cx="2863046" cy="2674189"/>
            <wp:effectExtent l="0" t="0" r="0" b="0"/>
            <wp:docPr id="26" name="Picture 26" descr="C:\Users\Beavers\Desktop\PAPER FOR PUBLICATION AND GUIDELINES\FIGURES\Tif\Fig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vers\Desktop\PAPER FOR PUBLICATION AND GUIDELINES\FIGURES\Tif\Fig5c.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3807" cy="2684240"/>
                    </a:xfrm>
                    <a:prstGeom prst="rect">
                      <a:avLst/>
                    </a:prstGeom>
                    <a:noFill/>
                    <a:ln>
                      <a:noFill/>
                    </a:ln>
                  </pic:spPr>
                </pic:pic>
              </a:graphicData>
            </a:graphic>
          </wp:inline>
        </w:drawing>
      </w:r>
      <w:r w:rsidRPr="00D120AC">
        <w:rPr>
          <w:noProof/>
          <w:lang w:val="en-CA" w:eastAsia="en-CA"/>
        </w:rPr>
        <w:drawing>
          <wp:inline distT="0" distB="0" distL="0" distR="0" wp14:anchorId="3650B28F" wp14:editId="50DEE52A">
            <wp:extent cx="2850988" cy="2673985"/>
            <wp:effectExtent l="0" t="0" r="0" b="0"/>
            <wp:docPr id="27" name="Picture 27" descr="C:\Users\Beavers\Desktop\PAPER FOR PUBLICATION AND GUIDELINES\FIGURES\Tif\Fig5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vers\Desktop\PAPER FOR PUBLICATION AND GUIDELINES\FIGURES\Tif\Fig5d.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9935" cy="2682377"/>
                    </a:xfrm>
                    <a:prstGeom prst="rect">
                      <a:avLst/>
                    </a:prstGeom>
                    <a:noFill/>
                    <a:ln>
                      <a:noFill/>
                    </a:ln>
                  </pic:spPr>
                </pic:pic>
              </a:graphicData>
            </a:graphic>
          </wp:inline>
        </w:drawing>
      </w:r>
    </w:p>
    <w:p w14:paraId="43E162C6" w14:textId="74A9B055" w:rsidR="00872A4B" w:rsidRDefault="00872A4B" w:rsidP="00872A4B">
      <w:pPr>
        <w:rPr>
          <w:lang w:val="en-CA"/>
        </w:rPr>
      </w:pPr>
      <w:r w:rsidRPr="00D120AC">
        <w:rPr>
          <w:b/>
          <w:lang w:val="en-CA"/>
        </w:rPr>
        <w:t xml:space="preserve">Figure </w:t>
      </w:r>
      <w:r w:rsidR="00310D76">
        <w:rPr>
          <w:b/>
          <w:lang w:val="en-CA"/>
        </w:rPr>
        <w:t>8</w:t>
      </w:r>
      <w:r w:rsidRPr="00D120AC">
        <w:rPr>
          <w:b/>
          <w:lang w:val="en-CA"/>
        </w:rPr>
        <w:t>.</w:t>
      </w:r>
      <w:r w:rsidRPr="00D120AC">
        <w:rPr>
          <w:lang w:val="en-CA"/>
        </w:rPr>
        <w:t xml:space="preserve"> Chronopotentiometry of the lithium plating and stripping in a symmetric cell. </w:t>
      </w:r>
      <w:r w:rsidR="00376EF2">
        <w:rPr>
          <w:lang w:val="en-CA"/>
        </w:rPr>
        <w:t>a</w:t>
      </w:r>
      <w:r w:rsidRPr="00D120AC">
        <w:rPr>
          <w:lang w:val="en-CA"/>
        </w:rPr>
        <w:t>) Cycling at 65 ºC for films with and without CNF containing PEO of different molecular weights: PEO</w:t>
      </w:r>
      <w:r w:rsidRPr="00D120AC">
        <w:rPr>
          <w:vertAlign w:val="subscript"/>
          <w:lang w:val="en-CA"/>
        </w:rPr>
        <w:t>100k</w:t>
      </w:r>
      <w:r w:rsidRPr="00D120AC">
        <w:rPr>
          <w:lang w:val="en-CA"/>
        </w:rPr>
        <w:t xml:space="preserve"> </w:t>
      </w:r>
      <w:r w:rsidR="001123D7">
        <w:rPr>
          <w:lang w:val="en-CA"/>
        </w:rPr>
        <w:t>–</w:t>
      </w:r>
      <w:r w:rsidRPr="00D120AC">
        <w:rPr>
          <w:lang w:val="en-CA"/>
        </w:rPr>
        <w:t xml:space="preserve"> black; CSPE based on PEO</w:t>
      </w:r>
      <w:r w:rsidRPr="00D120AC">
        <w:rPr>
          <w:vertAlign w:val="subscript"/>
          <w:lang w:val="en-CA"/>
        </w:rPr>
        <w:t>4k</w:t>
      </w:r>
      <w:r w:rsidRPr="00D120AC">
        <w:rPr>
          <w:lang w:val="en-CA"/>
        </w:rPr>
        <w:t xml:space="preserve"> – red; and PEO</w:t>
      </w:r>
      <w:r w:rsidRPr="00D120AC">
        <w:rPr>
          <w:vertAlign w:val="subscript"/>
          <w:lang w:val="en-CA"/>
        </w:rPr>
        <w:t>100k</w:t>
      </w:r>
      <w:r w:rsidRPr="00D120AC">
        <w:rPr>
          <w:lang w:val="en-CA"/>
        </w:rPr>
        <w:t xml:space="preserve"> </w:t>
      </w:r>
      <w:r w:rsidR="001123D7">
        <w:rPr>
          <w:lang w:val="en-CA"/>
        </w:rPr>
        <w:t>–</w:t>
      </w:r>
      <w:r w:rsidRPr="00D120AC">
        <w:rPr>
          <w:lang w:val="en-CA"/>
        </w:rPr>
        <w:t xml:space="preserve"> blue. </w:t>
      </w:r>
      <w:r w:rsidR="00376EF2">
        <w:rPr>
          <w:lang w:val="en-CA"/>
        </w:rPr>
        <w:t>b</w:t>
      </w:r>
      <w:r w:rsidRPr="00D120AC">
        <w:rPr>
          <w:lang w:val="en-CA"/>
        </w:rPr>
        <w:t>) Inset of the voltage profile showing increased overpotential for PEO</w:t>
      </w:r>
      <w:r w:rsidRPr="00D120AC">
        <w:rPr>
          <w:vertAlign w:val="subscript"/>
          <w:lang w:val="en-CA"/>
        </w:rPr>
        <w:t>4k</w:t>
      </w:r>
      <w:r w:rsidRPr="00D120AC">
        <w:rPr>
          <w:lang w:val="en-CA"/>
        </w:rPr>
        <w:t xml:space="preserve">-based sample </w:t>
      </w:r>
      <w:r w:rsidR="001123D7">
        <w:rPr>
          <w:lang w:val="en-CA"/>
        </w:rPr>
        <w:t>–</w:t>
      </w:r>
      <w:r w:rsidRPr="00D120AC">
        <w:rPr>
          <w:lang w:val="en-CA"/>
        </w:rPr>
        <w:t xml:space="preserve"> red, and its subsequent short circuiting. </w:t>
      </w:r>
      <w:r w:rsidR="008C31DA">
        <w:rPr>
          <w:lang w:val="en-CA"/>
        </w:rPr>
        <w:t>c</w:t>
      </w:r>
      <w:r w:rsidRPr="00D120AC">
        <w:rPr>
          <w:lang w:val="en-CA"/>
        </w:rPr>
        <w:t>) CSPEs cycling at 85 ºC. d) Inset of the voltage profile showing PEO</w:t>
      </w:r>
      <w:r w:rsidRPr="00D120AC">
        <w:rPr>
          <w:vertAlign w:val="subscript"/>
          <w:lang w:val="en-CA"/>
        </w:rPr>
        <w:t>4k</w:t>
      </w:r>
      <w:r w:rsidRPr="00D120AC">
        <w:rPr>
          <w:lang w:val="en-CA"/>
        </w:rPr>
        <w:t xml:space="preserve">-based sample </w:t>
      </w:r>
      <w:r w:rsidR="001123D7">
        <w:rPr>
          <w:lang w:val="en-CA"/>
        </w:rPr>
        <w:t>–</w:t>
      </w:r>
      <w:r w:rsidRPr="00D120AC">
        <w:rPr>
          <w:lang w:val="en-CA"/>
        </w:rPr>
        <w:t xml:space="preserve"> red, short circuiting after 79 hours of operation.</w:t>
      </w:r>
    </w:p>
    <w:p w14:paraId="7FD03495" w14:textId="77777777" w:rsidR="00D17E18" w:rsidRDefault="00D17E18" w:rsidP="00D17E18">
      <w:pPr>
        <w:spacing w:line="480" w:lineRule="auto"/>
        <w:ind w:firstLine="720"/>
        <w:contextualSpacing/>
        <w:rPr>
          <w:lang w:val="en-CA"/>
        </w:rPr>
      </w:pPr>
    </w:p>
    <w:p w14:paraId="6D67787A" w14:textId="698F8DC0" w:rsidR="00872A4B" w:rsidRPr="00D120AC" w:rsidRDefault="00872A4B" w:rsidP="00872A4B">
      <w:pPr>
        <w:spacing w:line="480" w:lineRule="auto"/>
        <w:ind w:firstLine="720"/>
        <w:contextualSpacing/>
        <w:rPr>
          <w:lang w:val="en-CA"/>
        </w:rPr>
      </w:pPr>
      <w:r w:rsidRPr="00D120AC">
        <w:rPr>
          <w:lang w:val="en-CA"/>
        </w:rPr>
        <w:t>To assess the long-term stability of the PEO</w:t>
      </w:r>
      <w:r w:rsidRPr="00D120AC">
        <w:rPr>
          <w:vertAlign w:val="subscript"/>
          <w:lang w:val="en-CA"/>
        </w:rPr>
        <w:t>100k</w:t>
      </w:r>
      <w:r w:rsidRPr="00D120AC">
        <w:rPr>
          <w:lang w:val="en-CA"/>
        </w:rPr>
        <w:t xml:space="preserve">/t-CNF electrolyte, we performed </w:t>
      </w:r>
      <w:r w:rsidR="00803A09" w:rsidRPr="00D120AC">
        <w:rPr>
          <w:lang w:val="en-CA"/>
        </w:rPr>
        <w:t>6</w:t>
      </w:r>
      <w:r w:rsidRPr="00D120AC">
        <w:rPr>
          <w:lang w:val="en-CA"/>
        </w:rPr>
        <w:t>00+ cycles at 65 ºC at various current densities.</w:t>
      </w:r>
    </w:p>
    <w:p w14:paraId="3585CCBE" w14:textId="77777777" w:rsidR="00872A4B" w:rsidRPr="00D120AC" w:rsidRDefault="00872A4B" w:rsidP="00872A4B">
      <w:pPr>
        <w:spacing w:line="480" w:lineRule="auto"/>
        <w:contextualSpacing/>
        <w:jc w:val="center"/>
        <w:rPr>
          <w:lang w:val="en-CA"/>
        </w:rPr>
      </w:pPr>
      <w:r w:rsidRPr="00D120AC">
        <w:rPr>
          <w:noProof/>
          <w:color w:val="000000" w:themeColor="text1"/>
          <w:lang w:val="en-CA" w:eastAsia="en-CA"/>
        </w:rPr>
        <w:lastRenderedPageBreak/>
        <w:drawing>
          <wp:inline distT="0" distB="0" distL="0" distR="0" wp14:anchorId="24542F54" wp14:editId="4CA86109">
            <wp:extent cx="4799509" cy="2657475"/>
            <wp:effectExtent l="0" t="0" r="1270" b="0"/>
            <wp:docPr id="29" name="Picture 29" descr="C:\Users\Beavers\Desktop\FILES FOR PAPER SUBMISSION\Figures\Fig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vers\Desktop\FILES FOR PAPER SUBMISSION\Figures\Fig7a.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1782" cy="2669807"/>
                    </a:xfrm>
                    <a:prstGeom prst="rect">
                      <a:avLst/>
                    </a:prstGeom>
                    <a:noFill/>
                    <a:ln>
                      <a:noFill/>
                    </a:ln>
                  </pic:spPr>
                </pic:pic>
              </a:graphicData>
            </a:graphic>
          </wp:inline>
        </w:drawing>
      </w:r>
      <w:r w:rsidRPr="00D120AC">
        <w:rPr>
          <w:noProof/>
          <w:color w:val="000000" w:themeColor="text1"/>
          <w:lang w:val="en-CA" w:eastAsia="en-CA"/>
        </w:rPr>
        <w:drawing>
          <wp:inline distT="0" distB="0" distL="0" distR="0" wp14:anchorId="729F86F5" wp14:editId="6D096C66">
            <wp:extent cx="4786824" cy="2609850"/>
            <wp:effectExtent l="0" t="0" r="0" b="0"/>
            <wp:docPr id="30" name="Picture 30" descr="C:\Users\Beavers\Desktop\FILES FOR PAPER SUBMISSION\Figures\Fig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vers\Desktop\FILES FOR PAPER SUBMISSION\Figures\Fig7b.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9797" cy="2622375"/>
                    </a:xfrm>
                    <a:prstGeom prst="rect">
                      <a:avLst/>
                    </a:prstGeom>
                    <a:noFill/>
                    <a:ln>
                      <a:noFill/>
                    </a:ln>
                  </pic:spPr>
                </pic:pic>
              </a:graphicData>
            </a:graphic>
          </wp:inline>
        </w:drawing>
      </w:r>
    </w:p>
    <w:p w14:paraId="690C6891" w14:textId="6B2A82D8" w:rsidR="00872A4B" w:rsidRPr="00D120AC" w:rsidRDefault="00872A4B" w:rsidP="00872A4B">
      <w:pPr>
        <w:contextualSpacing/>
        <w:rPr>
          <w:color w:val="000000" w:themeColor="text1"/>
          <w:lang w:val="en-CA"/>
        </w:rPr>
      </w:pPr>
      <w:r w:rsidRPr="00D120AC">
        <w:rPr>
          <w:b/>
          <w:lang w:val="en-CA"/>
        </w:rPr>
        <w:t xml:space="preserve">Figure </w:t>
      </w:r>
      <w:r w:rsidR="00310D76">
        <w:rPr>
          <w:b/>
          <w:lang w:val="en-CA"/>
        </w:rPr>
        <w:t>9</w:t>
      </w:r>
      <w:r w:rsidRPr="00D120AC">
        <w:rPr>
          <w:b/>
          <w:lang w:val="en-CA"/>
        </w:rPr>
        <w:t>.</w:t>
      </w:r>
      <w:r w:rsidRPr="00D120AC">
        <w:rPr>
          <w:lang w:val="en-CA"/>
        </w:rPr>
        <w:t xml:space="preserve"> Chronopotentiometry of the lithium plating and stripping in PEO</w:t>
      </w:r>
      <w:r w:rsidRPr="00D120AC">
        <w:rPr>
          <w:vertAlign w:val="subscript"/>
          <w:lang w:val="en-CA"/>
        </w:rPr>
        <w:t>100k</w:t>
      </w:r>
      <w:r w:rsidRPr="00D120AC">
        <w:rPr>
          <w:lang w:val="en-CA"/>
        </w:rPr>
        <w:t xml:space="preserve">/t-CNF based composite electrolyte in a symmetric Li cell. </w:t>
      </w:r>
      <w:r w:rsidR="00607E38">
        <w:rPr>
          <w:lang w:val="en-CA"/>
        </w:rPr>
        <w:t>a</w:t>
      </w:r>
      <w:r w:rsidRPr="00D120AC">
        <w:rPr>
          <w:lang w:val="en-CA"/>
        </w:rPr>
        <w:t>) long term performance, b) performance of the at different current densities.</w:t>
      </w:r>
    </w:p>
    <w:p w14:paraId="682A396B" w14:textId="77777777" w:rsidR="006C06F0" w:rsidRDefault="006C06F0" w:rsidP="00872A4B">
      <w:pPr>
        <w:spacing w:line="480" w:lineRule="auto"/>
        <w:ind w:firstLine="720"/>
        <w:contextualSpacing/>
        <w:rPr>
          <w:color w:val="000000" w:themeColor="text1"/>
          <w:lang w:val="en-CA"/>
        </w:rPr>
      </w:pPr>
    </w:p>
    <w:p w14:paraId="57390294" w14:textId="08C99D3B" w:rsidR="00872A4B" w:rsidRPr="006C474C" w:rsidRDefault="00872A4B" w:rsidP="00872A4B">
      <w:pPr>
        <w:spacing w:line="480" w:lineRule="auto"/>
        <w:ind w:firstLine="720"/>
        <w:contextualSpacing/>
        <w:rPr>
          <w:color w:val="000000" w:themeColor="text1"/>
          <w:lang w:val="en-CA"/>
        </w:rPr>
      </w:pPr>
      <w:r w:rsidRPr="00D120AC">
        <w:rPr>
          <w:color w:val="000000" w:themeColor="text1"/>
          <w:lang w:val="en-CA"/>
        </w:rPr>
        <w:t xml:space="preserve">The developed composite electrolyte with </w:t>
      </w:r>
      <w:proofErr w:type="gramStart"/>
      <w:r w:rsidRPr="00D120AC">
        <w:rPr>
          <w:color w:val="000000" w:themeColor="text1"/>
          <w:lang w:val="en-CA"/>
        </w:rPr>
        <w:t>20</w:t>
      </w:r>
      <w:proofErr w:type="gramEnd"/>
      <w:r w:rsidRPr="00D120AC">
        <w:rPr>
          <w:color w:val="000000" w:themeColor="text1"/>
          <w:lang w:val="en-CA"/>
        </w:rPr>
        <w:t xml:space="preserve"> </w:t>
      </w:r>
      <w:proofErr w:type="spellStart"/>
      <w:r w:rsidRPr="00D120AC">
        <w:rPr>
          <w:color w:val="000000" w:themeColor="text1"/>
          <w:lang w:val="en-CA"/>
        </w:rPr>
        <w:t>wt</w:t>
      </w:r>
      <w:proofErr w:type="spellEnd"/>
      <w:r w:rsidRPr="00D120AC">
        <w:rPr>
          <w:color w:val="000000" w:themeColor="text1"/>
          <w:lang w:val="en-CA"/>
        </w:rPr>
        <w:t>% of t-CNF performed well not only at widely used for CP current density of 0.2 mA cm</w:t>
      </w:r>
      <w:r w:rsidRPr="00D120AC">
        <w:rPr>
          <w:color w:val="000000" w:themeColor="text1"/>
          <w:vertAlign w:val="superscript"/>
          <w:lang w:val="en-CA"/>
        </w:rPr>
        <w:t>-2</w:t>
      </w:r>
      <w:r w:rsidRPr="00D120AC">
        <w:rPr>
          <w:color w:val="000000" w:themeColor="text1"/>
          <w:lang w:val="en-CA"/>
        </w:rPr>
        <w:t xml:space="preserve"> (Figure </w:t>
      </w:r>
      <w:r w:rsidR="00310D76">
        <w:rPr>
          <w:color w:val="000000" w:themeColor="text1"/>
          <w:lang w:val="en-CA"/>
        </w:rPr>
        <w:t>9</w:t>
      </w:r>
      <w:r w:rsidR="00310D76" w:rsidRPr="00D120AC">
        <w:rPr>
          <w:color w:val="000000" w:themeColor="text1"/>
          <w:lang w:val="en-CA"/>
        </w:rPr>
        <w:t>a</w:t>
      </w:r>
      <w:r w:rsidRPr="00D120AC">
        <w:rPr>
          <w:color w:val="000000" w:themeColor="text1"/>
          <w:lang w:val="en-CA"/>
        </w:rPr>
        <w:t>) but also at increased current densities of 0.35 and 0.5 mA cm</w:t>
      </w:r>
      <w:r w:rsidRPr="00D120AC">
        <w:rPr>
          <w:color w:val="000000" w:themeColor="text1"/>
          <w:vertAlign w:val="superscript"/>
          <w:lang w:val="en-CA"/>
        </w:rPr>
        <w:t>-2</w:t>
      </w:r>
      <w:r w:rsidRPr="00D120AC">
        <w:rPr>
          <w:color w:val="000000" w:themeColor="text1"/>
          <w:lang w:val="en-CA"/>
        </w:rPr>
        <w:t xml:space="preserve"> (Figure </w:t>
      </w:r>
      <w:r w:rsidR="00310D76">
        <w:rPr>
          <w:color w:val="000000" w:themeColor="text1"/>
          <w:lang w:val="en-CA"/>
        </w:rPr>
        <w:t>9</w:t>
      </w:r>
      <w:r w:rsidR="00310D76" w:rsidRPr="00D120AC">
        <w:rPr>
          <w:color w:val="000000" w:themeColor="text1"/>
          <w:lang w:val="en-CA"/>
        </w:rPr>
        <w:t>b</w:t>
      </w:r>
      <w:r w:rsidRPr="00D120AC">
        <w:rPr>
          <w:color w:val="000000" w:themeColor="text1"/>
          <w:lang w:val="en-CA"/>
        </w:rPr>
        <w:t xml:space="preserve">) which confirms the contribution of </w:t>
      </w:r>
      <w:r w:rsidR="00C419CA">
        <w:rPr>
          <w:color w:val="000000" w:themeColor="text1"/>
          <w:lang w:val="en-CA"/>
        </w:rPr>
        <w:t>t-</w:t>
      </w:r>
      <w:r w:rsidRPr="00D120AC">
        <w:rPr>
          <w:color w:val="000000" w:themeColor="text1"/>
          <w:lang w:val="en-CA"/>
        </w:rPr>
        <w:t xml:space="preserve">CNF </w:t>
      </w:r>
      <w:r w:rsidRPr="006C474C">
        <w:rPr>
          <w:color w:val="000000" w:themeColor="text1"/>
          <w:lang w:val="en-CA"/>
        </w:rPr>
        <w:t>network to the lithium dendrite growth suppression.</w:t>
      </w:r>
    </w:p>
    <w:p w14:paraId="0D5B88D4" w14:textId="117B41CE" w:rsidR="00F400FF" w:rsidRDefault="00F400FF" w:rsidP="00F400FF">
      <w:pPr>
        <w:spacing w:line="480" w:lineRule="auto"/>
        <w:ind w:firstLine="720"/>
        <w:contextualSpacing/>
        <w:rPr>
          <w:lang w:val="en-CA"/>
        </w:rPr>
      </w:pPr>
      <w:r w:rsidRPr="006C474C">
        <w:rPr>
          <w:lang w:val="en-CA"/>
        </w:rPr>
        <w:t>Room temperature performance of the developed CSPEs, as expected, scales with electrolyte conductivity (Figure S10, Supporting Information).</w:t>
      </w:r>
    </w:p>
    <w:p w14:paraId="6497A68C" w14:textId="3AD6D7B7" w:rsidR="004A4AB2" w:rsidRPr="006C474C" w:rsidRDefault="00F400FF" w:rsidP="004A4AB2">
      <w:pPr>
        <w:spacing w:line="480" w:lineRule="auto"/>
        <w:ind w:firstLine="708"/>
        <w:rPr>
          <w:lang w:val="en-CA"/>
        </w:rPr>
      </w:pPr>
      <w:r w:rsidRPr="006C474C">
        <w:rPr>
          <w:lang w:val="en-CA"/>
        </w:rPr>
        <w:lastRenderedPageBreak/>
        <w:t xml:space="preserve">Post-mortem SEM </w:t>
      </w:r>
      <w:proofErr w:type="gramStart"/>
      <w:r w:rsidRPr="006C474C">
        <w:rPr>
          <w:lang w:val="en-CA"/>
        </w:rPr>
        <w:t>was utilized</w:t>
      </w:r>
      <w:proofErr w:type="gramEnd"/>
      <w:r w:rsidRPr="006C474C">
        <w:rPr>
          <w:lang w:val="en-CA"/>
        </w:rPr>
        <w:t xml:space="preserve"> to examine developed electrolytes for signs of dendrites formation during CP experiments. CSPEs have </w:t>
      </w:r>
      <w:proofErr w:type="gramStart"/>
      <w:r w:rsidRPr="006C474C">
        <w:rPr>
          <w:lang w:val="en-CA"/>
        </w:rPr>
        <w:t>been studied</w:t>
      </w:r>
      <w:proofErr w:type="gramEnd"/>
      <w:r w:rsidRPr="006C474C">
        <w:rPr>
          <w:lang w:val="en-CA"/>
        </w:rPr>
        <w:t xml:space="preserve"> before and after CP was performed in a Li symmetric cell. While the film based on PEO</w:t>
      </w:r>
      <w:r w:rsidRPr="006C474C">
        <w:rPr>
          <w:vertAlign w:val="subscript"/>
          <w:lang w:val="en-CA"/>
        </w:rPr>
        <w:t>100k</w:t>
      </w:r>
      <w:r w:rsidRPr="006C474C">
        <w:rPr>
          <w:lang w:val="en-CA"/>
        </w:rPr>
        <w:t xml:space="preserve"> demonstrates rougher surface due to t-CNF agglomeration and has darker spots originated from morphology imperfections before cycling (Figure 10</w:t>
      </w:r>
      <w:r w:rsidR="00BC1BE7" w:rsidRPr="006C474C">
        <w:rPr>
          <w:lang w:val="en-CA"/>
        </w:rPr>
        <w:t>b</w:t>
      </w:r>
      <w:r w:rsidRPr="006C474C">
        <w:rPr>
          <w:lang w:val="en-CA"/>
        </w:rPr>
        <w:t xml:space="preserve">), it clearly can </w:t>
      </w:r>
      <w:proofErr w:type="gramStart"/>
      <w:r w:rsidRPr="006C474C">
        <w:rPr>
          <w:lang w:val="en-CA"/>
        </w:rPr>
        <w:t>be seen</w:t>
      </w:r>
      <w:proofErr w:type="gramEnd"/>
      <w:r w:rsidRPr="006C474C">
        <w:rPr>
          <w:lang w:val="en-CA"/>
        </w:rPr>
        <w:t xml:space="preserve"> that much smoother neat PEO</w:t>
      </w:r>
      <w:r w:rsidRPr="006C474C">
        <w:rPr>
          <w:vertAlign w:val="subscript"/>
          <w:lang w:val="en-CA"/>
        </w:rPr>
        <w:t>4k</w:t>
      </w:r>
      <w:r w:rsidRPr="006C474C">
        <w:rPr>
          <w:lang w:val="en-CA"/>
        </w:rPr>
        <w:t xml:space="preserve"> – based film develops </w:t>
      </w:r>
      <w:r w:rsidR="005416DE" w:rsidRPr="006C474C">
        <w:rPr>
          <w:lang w:val="en-CA"/>
        </w:rPr>
        <w:t xml:space="preserve">dark appearing </w:t>
      </w:r>
      <w:r w:rsidRPr="006C474C">
        <w:rPr>
          <w:lang w:val="en-CA"/>
        </w:rPr>
        <w:t>features of 1-10 microns size after CP (Figure 10</w:t>
      </w:r>
      <w:r w:rsidR="00BC1BE7" w:rsidRPr="006C474C">
        <w:rPr>
          <w:lang w:val="en-CA"/>
        </w:rPr>
        <w:t>c</w:t>
      </w:r>
      <w:r w:rsidRPr="006C474C">
        <w:rPr>
          <w:lang w:val="en-CA"/>
        </w:rPr>
        <w:t xml:space="preserve"> and S11 Supporting Information). </w:t>
      </w:r>
      <w:r w:rsidR="005416DE" w:rsidRPr="006C474C">
        <w:rPr>
          <w:lang w:val="en-CA"/>
        </w:rPr>
        <w:t xml:space="preserve">On the other hand, </w:t>
      </w:r>
      <w:r w:rsidRPr="006C474C">
        <w:rPr>
          <w:lang w:val="en-CA"/>
        </w:rPr>
        <w:t>PEO</w:t>
      </w:r>
      <w:r w:rsidRPr="006C474C">
        <w:rPr>
          <w:vertAlign w:val="subscript"/>
          <w:lang w:val="en-CA"/>
        </w:rPr>
        <w:t>100k</w:t>
      </w:r>
      <w:r w:rsidRPr="006C474C">
        <w:rPr>
          <w:lang w:val="en-CA"/>
        </w:rPr>
        <w:t xml:space="preserve"> – based CSPE does not have signs of new features origination (Figure 10</w:t>
      </w:r>
      <w:r w:rsidR="00BC1BE7" w:rsidRPr="006C474C">
        <w:rPr>
          <w:lang w:val="en-CA"/>
        </w:rPr>
        <w:t>d</w:t>
      </w:r>
      <w:r w:rsidRPr="006C474C">
        <w:rPr>
          <w:lang w:val="en-CA"/>
        </w:rPr>
        <w:t xml:space="preserve"> and S11 Supporting Information) which supports the assumption of its higher resistance to Lithium dendrites formation and growth</w:t>
      </w:r>
      <w:r w:rsidR="005416DE" w:rsidRPr="006C474C">
        <w:rPr>
          <w:lang w:val="en-CA"/>
        </w:rPr>
        <w:t>. Both electrolytes became smoother after cycling</w:t>
      </w:r>
      <w:r w:rsidR="00ED0099" w:rsidRPr="006C474C">
        <w:rPr>
          <w:lang w:val="en-CA"/>
        </w:rPr>
        <w:t>, which makes new formations even more noticeable</w:t>
      </w:r>
      <w:r w:rsidR="005416DE" w:rsidRPr="006C474C">
        <w:rPr>
          <w:lang w:val="en-CA"/>
        </w:rPr>
        <w:t>.</w:t>
      </w:r>
      <w:r w:rsidR="004A4AB2" w:rsidRPr="006C474C">
        <w:rPr>
          <w:lang w:val="en-CA"/>
        </w:rPr>
        <w:t xml:space="preserve"> Acquired results correlate with earlier reported patterns intrinsic for SEM imaging of Lithium dendrites growth in solid-state electrolytes - new darker regions on the surface of LLZO-based electrolytes were observed after its cycling</w:t>
      </w:r>
      <w:r w:rsidR="00B210F8" w:rsidRPr="006C474C">
        <w:rPr>
          <w:lang w:val="en-CA"/>
        </w:rPr>
        <w:t xml:space="preserve"> and on</w:t>
      </w:r>
      <w:r w:rsidR="004A4AB2" w:rsidRPr="006C474C">
        <w:rPr>
          <w:lang w:val="en-CA"/>
        </w:rPr>
        <w:t xml:space="preserve"> SEM back scattered electron images such regions </w:t>
      </w:r>
      <w:r w:rsidR="00B210F8" w:rsidRPr="006C474C">
        <w:rPr>
          <w:lang w:val="en-CA"/>
        </w:rPr>
        <w:t>are generally attributed to the</w:t>
      </w:r>
      <w:r w:rsidR="004A4AB2" w:rsidRPr="006C474C">
        <w:rPr>
          <w:lang w:val="en-CA"/>
        </w:rPr>
        <w:t xml:space="preserve"> formations </w:t>
      </w:r>
      <w:r w:rsidR="001B363D" w:rsidRPr="006C474C">
        <w:rPr>
          <w:lang w:val="en-CA"/>
        </w:rPr>
        <w:t>consisting</w:t>
      </w:r>
      <w:r w:rsidR="004A4AB2" w:rsidRPr="006C474C">
        <w:rPr>
          <w:lang w:val="en-CA"/>
        </w:rPr>
        <w:t xml:space="preserve"> of chemical elements with lower compared to brighter surroundings atomic number – in our case, Lithium.</w:t>
      </w:r>
      <w:r w:rsidR="00B210F8" w:rsidRPr="006C474C">
        <w:rPr>
          <w:lang w:val="en-CA"/>
        </w:rPr>
        <w:t xml:space="preserve"> </w:t>
      </w:r>
      <w:r w:rsidR="00B210F8" w:rsidRPr="006C474C">
        <w:rPr>
          <w:vertAlign w:val="superscript"/>
          <w:lang w:val="en-CA"/>
        </w:rPr>
        <w:t>52, 53</w:t>
      </w:r>
    </w:p>
    <w:p w14:paraId="0B9CDB53" w14:textId="28DD2F23" w:rsidR="00F400FF" w:rsidRPr="00CE4B57" w:rsidRDefault="004A4AB2" w:rsidP="00F400FF">
      <w:pPr>
        <w:spacing w:line="480" w:lineRule="auto"/>
        <w:ind w:firstLine="708"/>
        <w:rPr>
          <w:highlight w:val="yellow"/>
          <w:lang w:val="en-CA"/>
        </w:rPr>
      </w:pPr>
      <w:r>
        <w:rPr>
          <w:highlight w:val="yellow"/>
          <w:lang w:val="en-CA"/>
        </w:rPr>
        <w:t xml:space="preserve"> </w:t>
      </w:r>
    </w:p>
    <w:p w14:paraId="3B857292" w14:textId="4C96AC88" w:rsidR="00A00ECB" w:rsidRPr="006C474C" w:rsidRDefault="004F18FB" w:rsidP="00D00DC5">
      <w:pPr>
        <w:spacing w:line="480" w:lineRule="auto"/>
        <w:contextualSpacing/>
        <w:jc w:val="center"/>
        <w:rPr>
          <w:color w:val="000000" w:themeColor="text1"/>
          <w:lang w:val="en-CA"/>
        </w:rPr>
      </w:pPr>
      <w:r w:rsidRPr="006C474C">
        <w:rPr>
          <w:noProof/>
        </w:rPr>
        <w:lastRenderedPageBreak/>
        <w:drawing>
          <wp:inline distT="0" distB="0" distL="0" distR="0" wp14:anchorId="3735A411" wp14:editId="40577D73">
            <wp:extent cx="5181600" cy="4521760"/>
            <wp:effectExtent l="0" t="0" r="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1151" cy="4530095"/>
                    </a:xfrm>
                    <a:prstGeom prst="rect">
                      <a:avLst/>
                    </a:prstGeom>
                    <a:noFill/>
                    <a:ln>
                      <a:noFill/>
                    </a:ln>
                  </pic:spPr>
                </pic:pic>
              </a:graphicData>
            </a:graphic>
          </wp:inline>
        </w:drawing>
      </w:r>
    </w:p>
    <w:p w14:paraId="36E14087" w14:textId="48A054EA" w:rsidR="00607E38" w:rsidRPr="00D120AC" w:rsidRDefault="00607E38" w:rsidP="00607E38">
      <w:pPr>
        <w:contextualSpacing/>
        <w:rPr>
          <w:color w:val="000000" w:themeColor="text1"/>
          <w:lang w:val="en-CA"/>
        </w:rPr>
      </w:pPr>
      <w:r w:rsidRPr="006C474C">
        <w:rPr>
          <w:b/>
          <w:lang w:val="en-CA"/>
        </w:rPr>
        <w:t>Figure 10.</w:t>
      </w:r>
      <w:r w:rsidRPr="006C474C">
        <w:rPr>
          <w:lang w:val="en-CA"/>
        </w:rPr>
        <w:t xml:space="preserve"> SEM images of CSPE</w:t>
      </w:r>
      <w:r w:rsidR="00DD1AED" w:rsidRPr="006C474C">
        <w:rPr>
          <w:lang w:val="en-CA"/>
        </w:rPr>
        <w:t xml:space="preserve">s </w:t>
      </w:r>
      <w:r w:rsidRPr="006C474C">
        <w:rPr>
          <w:lang w:val="en-CA"/>
        </w:rPr>
        <w:t>surface (a, b) before and (c, d) after CP</w:t>
      </w:r>
      <w:r w:rsidR="00DD1AED" w:rsidRPr="006C474C">
        <w:rPr>
          <w:lang w:val="en-CA"/>
        </w:rPr>
        <w:t xml:space="preserve"> at room temperature and 0.2 mA </w:t>
      </w:r>
      <w:proofErr w:type="gramStart"/>
      <w:r w:rsidR="00DD1AED" w:rsidRPr="006C474C">
        <w:rPr>
          <w:lang w:val="en-CA"/>
        </w:rPr>
        <w:t>cm</w:t>
      </w:r>
      <w:r w:rsidR="00DD1AED" w:rsidRPr="006C474C">
        <w:rPr>
          <w:vertAlign w:val="superscript"/>
          <w:lang w:val="en-CA"/>
        </w:rPr>
        <w:t>-2</w:t>
      </w:r>
      <w:proofErr w:type="gramEnd"/>
      <w:r w:rsidR="00DD1AED" w:rsidRPr="006C474C">
        <w:rPr>
          <w:lang w:val="en-CA"/>
        </w:rPr>
        <w:t>.</w:t>
      </w:r>
    </w:p>
    <w:p w14:paraId="78E5D007" w14:textId="77777777" w:rsidR="00607E38" w:rsidRPr="00D120AC" w:rsidRDefault="00607E38" w:rsidP="00607E38">
      <w:pPr>
        <w:spacing w:line="480" w:lineRule="auto"/>
        <w:contextualSpacing/>
        <w:jc w:val="left"/>
        <w:rPr>
          <w:color w:val="000000" w:themeColor="text1"/>
          <w:lang w:val="en-CA"/>
        </w:rPr>
      </w:pPr>
    </w:p>
    <w:p w14:paraId="4124BCE2" w14:textId="77777777" w:rsidR="00872A4B" w:rsidRPr="00D120AC" w:rsidRDefault="00872A4B" w:rsidP="00872A4B">
      <w:pPr>
        <w:spacing w:line="480" w:lineRule="auto"/>
        <w:ind w:firstLine="720"/>
        <w:contextualSpacing/>
        <w:rPr>
          <w:lang w:val="en-CA"/>
        </w:rPr>
      </w:pPr>
      <w:r w:rsidRPr="00D120AC">
        <w:rPr>
          <w:color w:val="000000" w:themeColor="text1"/>
          <w:lang w:val="en-CA"/>
        </w:rPr>
        <w:t>It is also important to note that our EIS and CP results show that fabrication of CSPE in aqueous environment has comparable ionic conductivity and cycling stability of Li based electrolytes produced with toxic solvents such as acetonitrile and dimethyl sulfoxide. The proposed fabrication method therefore meets the previously reported CSPE performance while improving on the overall environmental impact of our developed materials.</w:t>
      </w:r>
    </w:p>
    <w:p w14:paraId="396F1121" w14:textId="77777777" w:rsidR="00872A4B" w:rsidRPr="00D120AC" w:rsidRDefault="00872A4B" w:rsidP="00872A4B">
      <w:pPr>
        <w:pStyle w:val="berschrift1"/>
      </w:pPr>
      <w:r w:rsidRPr="00D120AC">
        <w:t>Conclusion</w:t>
      </w:r>
    </w:p>
    <w:p w14:paraId="5A1F5EDA" w14:textId="6E64371D" w:rsidR="00872A4B" w:rsidRPr="00D120AC" w:rsidRDefault="00872A4B" w:rsidP="001F11F8">
      <w:pPr>
        <w:spacing w:line="480" w:lineRule="auto"/>
        <w:ind w:firstLine="720"/>
        <w:contextualSpacing/>
        <w:rPr>
          <w:lang w:val="en-CA"/>
        </w:rPr>
      </w:pPr>
      <w:r w:rsidRPr="00D120AC">
        <w:rPr>
          <w:lang w:val="en-CA"/>
        </w:rPr>
        <w:t>Using a</w:t>
      </w:r>
      <w:r w:rsidR="00310D76">
        <w:rPr>
          <w:lang w:val="en-CA"/>
        </w:rPr>
        <w:t xml:space="preserve"> multi-scale characterization approach through the combination of solid-state NMR, ESM,</w:t>
      </w:r>
      <w:r w:rsidRPr="00D120AC">
        <w:rPr>
          <w:lang w:val="en-CA"/>
        </w:rPr>
        <w:t xml:space="preserve"> </w:t>
      </w:r>
      <w:r w:rsidRPr="00D120AC">
        <w:rPr>
          <w:i/>
          <w:iCs/>
          <w:lang w:val="en-CA"/>
        </w:rPr>
        <w:t>in situ</w:t>
      </w:r>
      <w:r w:rsidRPr="00D120AC">
        <w:rPr>
          <w:lang w:val="en-CA"/>
        </w:rPr>
        <w:t xml:space="preserve"> microstructural analysis, </w:t>
      </w:r>
      <w:r w:rsidR="00310D76">
        <w:rPr>
          <w:lang w:val="en-CA"/>
        </w:rPr>
        <w:t xml:space="preserve">and bulk </w:t>
      </w:r>
      <w:r w:rsidRPr="00D120AC">
        <w:rPr>
          <w:lang w:val="en-CA"/>
        </w:rPr>
        <w:t xml:space="preserve">rheological </w:t>
      </w:r>
      <w:r w:rsidR="00310D76">
        <w:rPr>
          <w:lang w:val="en-CA"/>
        </w:rPr>
        <w:t xml:space="preserve">and </w:t>
      </w:r>
      <w:r w:rsidR="00310D76" w:rsidRPr="00D120AC">
        <w:rPr>
          <w:lang w:val="en-CA"/>
        </w:rPr>
        <w:t>electrochemical</w:t>
      </w:r>
      <w:r w:rsidR="003D32D0" w:rsidRPr="00D120AC">
        <w:rPr>
          <w:lang w:val="en-CA"/>
        </w:rPr>
        <w:t xml:space="preserve"> </w:t>
      </w:r>
      <w:r w:rsidRPr="00D120AC">
        <w:rPr>
          <w:lang w:val="en-CA"/>
        </w:rPr>
        <w:t xml:space="preserve">characterization we have studied the effect of t-CNF-PEO interactions on the </w:t>
      </w:r>
      <w:r w:rsidR="002F329E">
        <w:rPr>
          <w:lang w:val="en-CA"/>
        </w:rPr>
        <w:t xml:space="preserve">CSPE </w:t>
      </w:r>
      <w:r w:rsidR="002F329E">
        <w:rPr>
          <w:lang w:val="en-CA"/>
        </w:rPr>
        <w:lastRenderedPageBreak/>
        <w:t xml:space="preserve">morphology, PEO crystallization dynamics and its influence on </w:t>
      </w:r>
      <w:r w:rsidRPr="00D120AC">
        <w:rPr>
          <w:lang w:val="en-CA"/>
        </w:rPr>
        <w:t>conductivity and long-term stability of the derived CPSEs.</w:t>
      </w:r>
      <w:r w:rsidR="006D4692">
        <w:rPr>
          <w:lang w:val="en-CA"/>
        </w:rPr>
        <w:t xml:space="preserve"> Our findings demonstrate that reduction in bulk crystallinity, commonly taken as the indicator of particle suitability for a CPSE system, can be often deceiving</w:t>
      </w:r>
      <w:proofErr w:type="gramStart"/>
      <w:r w:rsidR="006D4692">
        <w:rPr>
          <w:lang w:val="en-CA"/>
        </w:rPr>
        <w:t xml:space="preserve">. </w:t>
      </w:r>
      <w:proofErr w:type="gramEnd"/>
      <w:r w:rsidRPr="008112B8">
        <w:rPr>
          <w:lang w:val="en-CA"/>
        </w:rPr>
        <w:t xml:space="preserve">By investigating PEO with two different molecular weights, </w:t>
      </w:r>
      <w:r w:rsidR="004457AD" w:rsidRPr="008112B8">
        <w:rPr>
          <w:lang w:val="en-CA"/>
        </w:rPr>
        <w:t xml:space="preserve">for the first time, </w:t>
      </w:r>
      <w:r w:rsidRPr="008112B8">
        <w:rPr>
          <w:lang w:val="en-CA"/>
        </w:rPr>
        <w:t xml:space="preserve">we show that there is a delicate balance between the extent of interaction </w:t>
      </w:r>
      <w:r w:rsidR="00222177" w:rsidRPr="008112B8">
        <w:rPr>
          <w:lang w:val="en-CA"/>
        </w:rPr>
        <w:t>of</w:t>
      </w:r>
      <w:r w:rsidRPr="008112B8">
        <w:rPr>
          <w:lang w:val="en-CA"/>
        </w:rPr>
        <w:t xml:space="preserve"> PEO chains and t-CNFs</w:t>
      </w:r>
      <w:r w:rsidR="00310D76" w:rsidRPr="008112B8">
        <w:rPr>
          <w:lang w:val="en-CA"/>
        </w:rPr>
        <w:t xml:space="preserve">, viscosity of the PEO solution, </w:t>
      </w:r>
      <w:r w:rsidR="00DC59C9" w:rsidRPr="008112B8">
        <w:rPr>
          <w:lang w:val="en-CA"/>
        </w:rPr>
        <w:t xml:space="preserve">which </w:t>
      </w:r>
      <w:proofErr w:type="gramStart"/>
      <w:r w:rsidR="00DC59C9" w:rsidRPr="008112B8">
        <w:rPr>
          <w:lang w:val="en-CA"/>
        </w:rPr>
        <w:t>ultimately governs</w:t>
      </w:r>
      <w:proofErr w:type="gramEnd"/>
      <w:r w:rsidR="00DC59C9" w:rsidRPr="008112B8">
        <w:rPr>
          <w:lang w:val="en-CA"/>
        </w:rPr>
        <w:t xml:space="preserve"> particle ordering within or outside of spherulites</w:t>
      </w:r>
      <w:r w:rsidR="0067667D" w:rsidRPr="008112B8">
        <w:rPr>
          <w:lang w:val="en-CA"/>
        </w:rPr>
        <w:t xml:space="preserve"> in the derived CPSE</w:t>
      </w:r>
      <w:r w:rsidRPr="008112B8">
        <w:rPr>
          <w:lang w:val="en-CA"/>
        </w:rPr>
        <w:t>.</w:t>
      </w:r>
      <w:r w:rsidRPr="00D120AC">
        <w:rPr>
          <w:lang w:val="en-CA"/>
        </w:rPr>
        <w:t xml:space="preserve"> </w:t>
      </w:r>
      <w:r w:rsidR="002F329E">
        <w:rPr>
          <w:lang w:val="en-CA"/>
        </w:rPr>
        <w:t>t</w:t>
      </w:r>
      <w:r w:rsidRPr="00D120AC">
        <w:rPr>
          <w:lang w:val="en-CA"/>
        </w:rPr>
        <w:t>-CNFs are not only able to form a continuous entangled network contributing to the mechanical integrity of the CSPE, but also induce morphological changes to the PEO spherulite structure affecting the electrochemical performance. The enhanced dispersion of t-CNF and its incorporation in PEO</w:t>
      </w:r>
      <w:r w:rsidRPr="00D120AC">
        <w:rPr>
          <w:vertAlign w:val="subscript"/>
          <w:lang w:val="en-CA"/>
        </w:rPr>
        <w:t>4k</w:t>
      </w:r>
      <w:r w:rsidRPr="00D120AC">
        <w:rPr>
          <w:lang w:val="en-CA"/>
        </w:rPr>
        <w:t xml:space="preserve"> spherulites, supresses the overall crystallinity </w:t>
      </w:r>
      <w:r w:rsidR="00256922">
        <w:rPr>
          <w:lang w:val="en-CA"/>
        </w:rPr>
        <w:t>without significant loss in ion conductivity</w:t>
      </w:r>
      <w:r w:rsidRPr="00D120AC">
        <w:rPr>
          <w:lang w:val="en-CA"/>
        </w:rPr>
        <w:t xml:space="preserve"> of the derived CPSE. However, well dispersed t-CNFs does not result in a strong network necessary to entirely supress dendrite growth during Li stripping/plating experiments</w:t>
      </w:r>
      <w:r w:rsidR="006D4692">
        <w:rPr>
          <w:lang w:val="en-CA"/>
        </w:rPr>
        <w:t xml:space="preserve"> due to the presence of particle-free, uniformly distributed nuclei of PEO</w:t>
      </w:r>
      <w:r w:rsidR="006D4692" w:rsidRPr="008112B8">
        <w:rPr>
          <w:vertAlign w:val="subscript"/>
          <w:lang w:val="en-CA"/>
        </w:rPr>
        <w:t>4K</w:t>
      </w:r>
      <w:r w:rsidR="006D4692">
        <w:rPr>
          <w:lang w:val="en-CA"/>
        </w:rPr>
        <w:t xml:space="preserve"> spherulites</w:t>
      </w:r>
      <w:r w:rsidRPr="00D120AC">
        <w:rPr>
          <w:lang w:val="en-CA"/>
        </w:rPr>
        <w:t>. The PEO</w:t>
      </w:r>
      <w:r w:rsidRPr="00D120AC">
        <w:rPr>
          <w:vertAlign w:val="subscript"/>
          <w:lang w:val="en-CA"/>
        </w:rPr>
        <w:t>100k</w:t>
      </w:r>
      <w:r w:rsidRPr="00D120AC">
        <w:rPr>
          <w:lang w:val="en-CA"/>
        </w:rPr>
        <w:t xml:space="preserve"> system demonstrates t-CNF excellent electrochemical response where stable Li stripping/platting behaviour for over </w:t>
      </w:r>
      <w:proofErr w:type="gramStart"/>
      <w:r w:rsidRPr="00D120AC">
        <w:rPr>
          <w:lang w:val="en-CA"/>
        </w:rPr>
        <w:t>1000</w:t>
      </w:r>
      <w:proofErr w:type="gramEnd"/>
      <w:r w:rsidRPr="00D120AC">
        <w:rPr>
          <w:lang w:val="en-CA"/>
        </w:rPr>
        <w:t xml:space="preserve"> hours when tested at elevated temperatures (65 ºC)</w:t>
      </w:r>
      <w:r w:rsidR="00310D76">
        <w:rPr>
          <w:lang w:val="en-CA"/>
        </w:rPr>
        <w:t xml:space="preserve"> at the cost of slight decrease in room temperature conductivity</w:t>
      </w:r>
      <w:r w:rsidRPr="00D120AC">
        <w:rPr>
          <w:lang w:val="en-CA"/>
        </w:rPr>
        <w:t xml:space="preserve">. </w:t>
      </w:r>
      <w:r w:rsidR="00C72C3E">
        <w:rPr>
          <w:lang w:val="en-CA"/>
        </w:rPr>
        <w:t>Moreover, developed CSPE demonstrates less temperature dependence of its ionic conductivity due to t-CNF retardation effect on PEO crystallization process – PEO phase can stay mainly amorphous even at 30</w:t>
      </w:r>
      <w:r w:rsidR="00C72C3E" w:rsidRPr="00C72C3E">
        <w:rPr>
          <w:vertAlign w:val="superscript"/>
          <w:lang w:val="en-CA"/>
        </w:rPr>
        <w:t>o</w:t>
      </w:r>
      <w:r w:rsidR="00C72C3E">
        <w:rPr>
          <w:lang w:val="en-CA"/>
        </w:rPr>
        <w:t xml:space="preserve">C. </w:t>
      </w:r>
      <w:r w:rsidR="00BD3F04" w:rsidRPr="008112B8">
        <w:rPr>
          <w:lang w:val="en-CA"/>
        </w:rPr>
        <w:t>For the first time we link local Li-ion mobility at the nanoscale level with ESM, to the microstructural features depicting spherulite morphology (via polarized microscopy) along with particle distribution (via confocal microscopy) which are not detectable with a commonly utilized SEM technique. We finally link these two scales to the bulk performance via long-term stripping/plating experiments.</w:t>
      </w:r>
      <w:r w:rsidR="00BD3F04" w:rsidRPr="00BD3F04">
        <w:rPr>
          <w:lang w:val="en-CA"/>
        </w:rPr>
        <w:t xml:space="preserve"> </w:t>
      </w:r>
      <w:r w:rsidR="00222177" w:rsidRPr="00D120AC">
        <w:rPr>
          <w:lang w:val="en-CA"/>
        </w:rPr>
        <w:t>Succe</w:t>
      </w:r>
      <w:r w:rsidR="006A049C" w:rsidRPr="00D120AC">
        <w:rPr>
          <w:lang w:val="en-CA"/>
        </w:rPr>
        <w:t>ss</w:t>
      </w:r>
      <w:r w:rsidR="00222177" w:rsidRPr="00D120AC">
        <w:rPr>
          <w:lang w:val="en-CA"/>
        </w:rPr>
        <w:t>ful implementation of ESM technique with</w:t>
      </w:r>
      <w:r w:rsidR="006A049C" w:rsidRPr="00D120AC">
        <w:rPr>
          <w:lang w:val="en-CA"/>
        </w:rPr>
        <w:t xml:space="preserve"> a developed</w:t>
      </w:r>
      <w:r w:rsidR="00222177" w:rsidRPr="00D120AC">
        <w:rPr>
          <w:lang w:val="en-CA"/>
        </w:rPr>
        <w:t xml:space="preserve"> CSPE</w:t>
      </w:r>
      <w:r w:rsidR="006A049C" w:rsidRPr="00D120AC">
        <w:rPr>
          <w:lang w:val="en-CA"/>
        </w:rPr>
        <w:t xml:space="preserve"> and</w:t>
      </w:r>
      <w:r w:rsidR="003A15A0" w:rsidRPr="00D120AC">
        <w:rPr>
          <w:lang w:val="en-CA"/>
        </w:rPr>
        <w:t xml:space="preserve"> coherence of current results with past studies,</w:t>
      </w:r>
      <w:r w:rsidR="00222177" w:rsidRPr="00D120AC">
        <w:rPr>
          <w:lang w:val="en-CA"/>
        </w:rPr>
        <w:t xml:space="preserve"> proves its consistency for the purpose of probing local ionic </w:t>
      </w:r>
      <w:r w:rsidR="00222177" w:rsidRPr="00D120AC">
        <w:rPr>
          <w:lang w:val="en-CA"/>
        </w:rPr>
        <w:lastRenderedPageBreak/>
        <w:t>conductivity</w:t>
      </w:r>
      <w:r w:rsidR="006A049C" w:rsidRPr="00D120AC">
        <w:rPr>
          <w:lang w:val="en-CA"/>
        </w:rPr>
        <w:t xml:space="preserve"> in hybrid materials on a nanoscopic scale.</w:t>
      </w:r>
      <w:r w:rsidR="00222177" w:rsidRPr="00D120AC">
        <w:rPr>
          <w:lang w:val="en-CA"/>
        </w:rPr>
        <w:t xml:space="preserve"> </w:t>
      </w:r>
      <w:r w:rsidRPr="00D120AC">
        <w:rPr>
          <w:lang w:val="en-CA"/>
        </w:rPr>
        <w:t xml:space="preserve">Since t-CNFs can </w:t>
      </w:r>
      <w:proofErr w:type="gramStart"/>
      <w:r w:rsidRPr="00D120AC">
        <w:rPr>
          <w:lang w:val="en-CA"/>
        </w:rPr>
        <w:t>be modified</w:t>
      </w:r>
      <w:proofErr w:type="gramEnd"/>
      <w:r w:rsidRPr="00D120AC">
        <w:rPr>
          <w:lang w:val="en-CA"/>
        </w:rPr>
        <w:t xml:space="preserve"> to carry diverse surface functional groups, which in turn can have added benefits on the CSPE performance, further investigation and optimization is needed to understand the full potential of cellulosic nanomaterials for lithium metal based solid-state batteries.</w:t>
      </w:r>
    </w:p>
    <w:p w14:paraId="7266A69C" w14:textId="46F8762B" w:rsidR="00872A4B" w:rsidRPr="00D120AC" w:rsidRDefault="000A61C9" w:rsidP="00CC16CA">
      <w:pPr>
        <w:pStyle w:val="berschrift1"/>
        <w:numPr>
          <w:ilvl w:val="0"/>
          <w:numId w:val="0"/>
        </w:numPr>
      </w:pPr>
      <w:r>
        <w:t>Associated content</w:t>
      </w:r>
    </w:p>
    <w:p w14:paraId="67129C97" w14:textId="3CDD2D5B" w:rsidR="00872A4B" w:rsidRDefault="00872A4B" w:rsidP="001A2021">
      <w:pPr>
        <w:ind w:firstLine="708"/>
        <w:rPr>
          <w:lang w:val="en-CA"/>
        </w:rPr>
      </w:pPr>
      <w:r w:rsidRPr="00D120AC">
        <w:rPr>
          <w:lang w:val="en-CA"/>
        </w:rPr>
        <w:t xml:space="preserve">Supporting Information is available </w:t>
      </w:r>
      <w:r w:rsidR="007B50F4">
        <w:rPr>
          <w:lang w:val="en-CA"/>
        </w:rPr>
        <w:t>free of charge at</w:t>
      </w:r>
    </w:p>
    <w:p w14:paraId="0C21BE26" w14:textId="3B2B4CC0" w:rsidR="007B50F4" w:rsidRPr="006C474C" w:rsidRDefault="00240DA6" w:rsidP="00240DA6">
      <w:pPr>
        <w:autoSpaceDE w:val="0"/>
        <w:autoSpaceDN w:val="0"/>
        <w:adjustRightInd w:val="0"/>
        <w:spacing w:after="120" w:line="276" w:lineRule="auto"/>
        <w:rPr>
          <w:color w:val="000000" w:themeColor="text1"/>
        </w:rPr>
      </w:pPr>
      <w:r w:rsidRPr="006C474C">
        <w:rPr>
          <w:color w:val="000000" w:themeColor="text1"/>
        </w:rPr>
        <w:t>Additional experimental data (DOCX):</w:t>
      </w:r>
    </w:p>
    <w:p w14:paraId="3E19AB1F" w14:textId="77777777" w:rsidR="007E0DCE" w:rsidRPr="006C474C" w:rsidRDefault="007E0DCE" w:rsidP="006008E2">
      <w:pPr>
        <w:autoSpaceDE w:val="0"/>
        <w:autoSpaceDN w:val="0"/>
        <w:adjustRightInd w:val="0"/>
        <w:spacing w:after="120"/>
        <w:rPr>
          <w:rFonts w:eastAsia="AdvOT999035f4"/>
          <w:color w:val="000000" w:themeColor="text1"/>
          <w:lang w:val="en-CA"/>
        </w:rPr>
      </w:pPr>
      <w:r w:rsidRPr="006C474C">
        <w:rPr>
          <w:color w:val="000000" w:themeColor="text1"/>
          <w:lang w:val="en-CA"/>
        </w:rPr>
        <w:t>Figure S1. Bending test schematics. Successful sample does not have sign of bending after its release.</w:t>
      </w:r>
    </w:p>
    <w:p w14:paraId="7BF31107" w14:textId="77777777" w:rsidR="007E0DCE" w:rsidRPr="006C474C" w:rsidRDefault="007E0DCE" w:rsidP="006008E2">
      <w:pPr>
        <w:autoSpaceDE w:val="0"/>
        <w:autoSpaceDN w:val="0"/>
        <w:adjustRightInd w:val="0"/>
        <w:spacing w:after="120"/>
        <w:rPr>
          <w:rFonts w:eastAsia="AdvOT999035f4"/>
          <w:color w:val="000000" w:themeColor="text1"/>
          <w:lang w:val="en-CA"/>
        </w:rPr>
      </w:pPr>
      <w:r w:rsidRPr="006C474C">
        <w:rPr>
          <w:color w:val="000000" w:themeColor="text1"/>
          <w:lang w:val="en-CA"/>
        </w:rPr>
        <w:t xml:space="preserve">Figure S2. a) Generic Nyquist plot for ionic conductive materials. b) EIS response of the </w:t>
      </w:r>
      <w:proofErr w:type="gramStart"/>
      <w:r w:rsidRPr="006C474C">
        <w:rPr>
          <w:color w:val="000000" w:themeColor="text1"/>
          <w:lang w:val="en-CA"/>
        </w:rPr>
        <w:t>short circuited</w:t>
      </w:r>
      <w:proofErr w:type="gramEnd"/>
      <w:r w:rsidRPr="006C474C">
        <w:rPr>
          <w:color w:val="000000" w:themeColor="text1"/>
          <w:lang w:val="en-CA"/>
        </w:rPr>
        <w:t xml:space="preserve"> samples.</w:t>
      </w:r>
    </w:p>
    <w:p w14:paraId="3BE42D89" w14:textId="77777777" w:rsidR="007E0DCE" w:rsidRPr="006C474C" w:rsidRDefault="007E0DCE" w:rsidP="006008E2">
      <w:pPr>
        <w:autoSpaceDE w:val="0"/>
        <w:autoSpaceDN w:val="0"/>
        <w:adjustRightInd w:val="0"/>
        <w:spacing w:after="120"/>
        <w:rPr>
          <w:color w:val="000000" w:themeColor="text1"/>
          <w:lang w:val="en-CA"/>
        </w:rPr>
      </w:pPr>
      <w:r w:rsidRPr="006C474C">
        <w:rPr>
          <w:color w:val="000000" w:themeColor="text1"/>
          <w:lang w:val="en-CA"/>
        </w:rPr>
        <w:t>Figure S3. Reflection image of PEO</w:t>
      </w:r>
      <w:r w:rsidRPr="006C474C">
        <w:rPr>
          <w:color w:val="000000" w:themeColor="text1"/>
          <w:vertAlign w:val="subscript"/>
          <w:lang w:val="en-CA"/>
        </w:rPr>
        <w:t>100k</w:t>
      </w:r>
      <w:r w:rsidRPr="006C474C">
        <w:rPr>
          <w:color w:val="000000" w:themeColor="text1"/>
          <w:lang w:val="en-CA"/>
        </w:rPr>
        <w:t xml:space="preserve"> – based CSPE sample. No agglomeration of LiClO</w:t>
      </w:r>
      <w:r w:rsidRPr="006C474C">
        <w:rPr>
          <w:color w:val="000000" w:themeColor="text1"/>
          <w:vertAlign w:val="subscript"/>
          <w:lang w:val="en-CA"/>
        </w:rPr>
        <w:t>4</w:t>
      </w:r>
      <w:r w:rsidRPr="006C474C">
        <w:rPr>
          <w:color w:val="000000" w:themeColor="text1"/>
          <w:lang w:val="en-CA"/>
        </w:rPr>
        <w:t xml:space="preserve"> can </w:t>
      </w:r>
      <w:proofErr w:type="gramStart"/>
      <w:r w:rsidRPr="006C474C">
        <w:rPr>
          <w:color w:val="000000" w:themeColor="text1"/>
          <w:lang w:val="en-CA"/>
        </w:rPr>
        <w:t>be observed</w:t>
      </w:r>
      <w:proofErr w:type="gramEnd"/>
      <w:r w:rsidRPr="006C474C">
        <w:rPr>
          <w:color w:val="000000" w:themeColor="text1"/>
          <w:lang w:val="en-CA"/>
        </w:rPr>
        <w:t>. PEO/LiClO</w:t>
      </w:r>
      <w:r w:rsidRPr="006C474C">
        <w:rPr>
          <w:color w:val="000000" w:themeColor="text1"/>
          <w:vertAlign w:val="subscript"/>
          <w:lang w:val="en-CA"/>
        </w:rPr>
        <w:t>4</w:t>
      </w:r>
      <w:r w:rsidRPr="006C474C">
        <w:rPr>
          <w:color w:val="000000" w:themeColor="text1"/>
          <w:lang w:val="en-CA"/>
        </w:rPr>
        <w:t xml:space="preserve">/t-CNF phases are </w:t>
      </w:r>
      <w:proofErr w:type="gramStart"/>
      <w:r w:rsidRPr="006C474C">
        <w:rPr>
          <w:color w:val="000000" w:themeColor="text1"/>
          <w:lang w:val="en-CA"/>
        </w:rPr>
        <w:t>very hard</w:t>
      </w:r>
      <w:proofErr w:type="gramEnd"/>
      <w:r w:rsidRPr="006C474C">
        <w:rPr>
          <w:color w:val="000000" w:themeColor="text1"/>
          <w:lang w:val="en-CA"/>
        </w:rPr>
        <w:t xml:space="preserve"> to distinguish.</w:t>
      </w:r>
    </w:p>
    <w:p w14:paraId="2DCAF2B7" w14:textId="77777777" w:rsidR="007E0DCE" w:rsidRPr="006C474C" w:rsidRDefault="007E0DCE" w:rsidP="006008E2">
      <w:pPr>
        <w:autoSpaceDE w:val="0"/>
        <w:autoSpaceDN w:val="0"/>
        <w:adjustRightInd w:val="0"/>
        <w:spacing w:after="120"/>
        <w:rPr>
          <w:rFonts w:eastAsia="AdvOT999035f4"/>
          <w:color w:val="000000" w:themeColor="text1"/>
          <w:lang w:val="en-CA"/>
        </w:rPr>
      </w:pPr>
      <w:r w:rsidRPr="006C474C">
        <w:rPr>
          <w:color w:val="000000" w:themeColor="text1"/>
          <w:lang w:val="en-CA"/>
        </w:rPr>
        <w:t>Figure S4. Polarized image of PEO</w:t>
      </w:r>
      <w:r w:rsidRPr="006C474C">
        <w:rPr>
          <w:color w:val="000000" w:themeColor="text1"/>
          <w:vertAlign w:val="subscript"/>
          <w:lang w:val="en-CA"/>
        </w:rPr>
        <w:t>4k</w:t>
      </w:r>
      <w:r w:rsidRPr="006C474C">
        <w:rPr>
          <w:color w:val="000000" w:themeColor="text1"/>
          <w:lang w:val="en-CA"/>
        </w:rPr>
        <w:t xml:space="preserve"> spherulite with </w:t>
      </w:r>
      <w:proofErr w:type="gramStart"/>
      <w:r w:rsidRPr="006C474C">
        <w:rPr>
          <w:color w:val="000000" w:themeColor="text1"/>
          <w:lang w:val="en-CA"/>
        </w:rPr>
        <w:t>much</w:t>
      </w:r>
      <w:proofErr w:type="gramEnd"/>
      <w:r w:rsidRPr="006C474C">
        <w:rPr>
          <w:color w:val="000000" w:themeColor="text1"/>
          <w:lang w:val="en-CA"/>
        </w:rPr>
        <w:t xml:space="preserve"> bigger size when compared to PEO</w:t>
      </w:r>
      <w:r w:rsidRPr="006C474C">
        <w:rPr>
          <w:color w:val="000000" w:themeColor="text1"/>
          <w:vertAlign w:val="subscript"/>
          <w:lang w:val="en-CA"/>
        </w:rPr>
        <w:t>100k</w:t>
      </w:r>
      <w:r w:rsidRPr="006C474C">
        <w:rPr>
          <w:color w:val="000000" w:themeColor="text1"/>
          <w:lang w:val="en-CA"/>
        </w:rPr>
        <w:t xml:space="preserve"> spherulites.</w:t>
      </w:r>
    </w:p>
    <w:p w14:paraId="437BC61B" w14:textId="77777777" w:rsidR="007E0DCE" w:rsidRPr="006C474C" w:rsidRDefault="007E0DCE" w:rsidP="006008E2">
      <w:pPr>
        <w:autoSpaceDE w:val="0"/>
        <w:autoSpaceDN w:val="0"/>
        <w:adjustRightInd w:val="0"/>
        <w:spacing w:after="120"/>
        <w:rPr>
          <w:rFonts w:eastAsia="AdvOT999035f4"/>
          <w:color w:val="000000" w:themeColor="text1"/>
          <w:lang w:val="en-CA"/>
        </w:rPr>
      </w:pPr>
      <w:bookmarkStart w:id="2" w:name="_Hlk116915905"/>
      <w:r w:rsidRPr="006C474C">
        <w:rPr>
          <w:rFonts w:eastAsia="AdvOT999035f4"/>
          <w:color w:val="000000" w:themeColor="text1"/>
          <w:lang w:val="en-CA"/>
        </w:rPr>
        <w:t xml:space="preserve">Figure S5. </w:t>
      </w:r>
      <w:r w:rsidRPr="006C474C">
        <w:rPr>
          <w:color w:val="000000" w:themeColor="text1"/>
        </w:rPr>
        <w:t>Arrhenius plot of ionic conductivity for samples of a) PEO + LiClO</w:t>
      </w:r>
      <w:r w:rsidRPr="006C474C">
        <w:rPr>
          <w:color w:val="000000" w:themeColor="text1"/>
          <w:vertAlign w:val="subscript"/>
        </w:rPr>
        <w:t>4</w:t>
      </w:r>
      <w:r w:rsidRPr="006C474C">
        <w:rPr>
          <w:color w:val="000000" w:themeColor="text1"/>
        </w:rPr>
        <w:t xml:space="preserve"> and CSPEs with different t-CNF loading.</w:t>
      </w:r>
    </w:p>
    <w:bookmarkEnd w:id="2"/>
    <w:p w14:paraId="61BD764B" w14:textId="77777777" w:rsidR="007E0DCE" w:rsidRPr="006C474C" w:rsidRDefault="007E0DCE" w:rsidP="006008E2">
      <w:pPr>
        <w:autoSpaceDE w:val="0"/>
        <w:autoSpaceDN w:val="0"/>
        <w:adjustRightInd w:val="0"/>
        <w:spacing w:after="120"/>
        <w:rPr>
          <w:rFonts w:eastAsia="AdvOT999035f4"/>
          <w:color w:val="000000" w:themeColor="text1"/>
          <w:lang w:val="en-CA"/>
        </w:rPr>
      </w:pPr>
      <w:r w:rsidRPr="006C474C">
        <w:rPr>
          <w:rFonts w:eastAsia="AdvOT999035f4"/>
          <w:color w:val="000000" w:themeColor="text1"/>
          <w:lang w:val="en-CA"/>
        </w:rPr>
        <w:t>Figure S6. Ionic conductivity of CSPEs at different temperature during heating and cooling.</w:t>
      </w:r>
    </w:p>
    <w:p w14:paraId="754D6F1A" w14:textId="77777777" w:rsidR="007E0DCE" w:rsidRPr="006C474C" w:rsidRDefault="007E0DCE" w:rsidP="006008E2">
      <w:pPr>
        <w:autoSpaceDE w:val="0"/>
        <w:autoSpaceDN w:val="0"/>
        <w:adjustRightInd w:val="0"/>
        <w:spacing w:after="120"/>
        <w:rPr>
          <w:rFonts w:eastAsia="AdvOT999035f4"/>
          <w:color w:val="000000" w:themeColor="text1"/>
          <w:lang w:val="en-CA"/>
        </w:rPr>
      </w:pPr>
      <w:r w:rsidRPr="006C474C">
        <w:rPr>
          <w:color w:val="000000" w:themeColor="text1"/>
          <w:lang w:val="en-CA"/>
        </w:rPr>
        <w:t>Figure S7. PEO</w:t>
      </w:r>
      <w:r w:rsidRPr="006C474C">
        <w:rPr>
          <w:color w:val="000000" w:themeColor="text1"/>
          <w:vertAlign w:val="subscript"/>
          <w:lang w:val="en-CA"/>
        </w:rPr>
        <w:t>100k</w:t>
      </w:r>
      <w:r w:rsidRPr="006C474C">
        <w:rPr>
          <w:color w:val="000000" w:themeColor="text1"/>
          <w:lang w:val="en-CA"/>
        </w:rPr>
        <w:t xml:space="preserve"> electrolyte film before a) and after b) heating above 50 </w:t>
      </w:r>
      <w:r w:rsidRPr="006C474C">
        <w:rPr>
          <w:lang w:val="en-CA"/>
        </w:rPr>
        <w:t>ºC.</w:t>
      </w:r>
    </w:p>
    <w:p w14:paraId="48C56E35" w14:textId="77777777" w:rsidR="007E0DCE" w:rsidRPr="006C474C" w:rsidRDefault="007E0DCE" w:rsidP="006008E2">
      <w:pPr>
        <w:rPr>
          <w:lang w:val="en-CA"/>
        </w:rPr>
      </w:pPr>
      <w:bookmarkStart w:id="3" w:name="_Hlk116915928"/>
      <w:r w:rsidRPr="006C474C">
        <w:rPr>
          <w:lang w:val="en-CA"/>
        </w:rPr>
        <w:t>Figure S8. a) Topography, b) ESM Amplitude, with inset cross-section of the signal for PEO</w:t>
      </w:r>
      <w:r w:rsidRPr="006C474C">
        <w:rPr>
          <w:vertAlign w:val="subscript"/>
          <w:lang w:val="en-CA"/>
        </w:rPr>
        <w:t>100k</w:t>
      </w:r>
      <w:r w:rsidRPr="006C474C">
        <w:rPr>
          <w:lang w:val="en-CA"/>
        </w:rPr>
        <w:t>/LiClO</w:t>
      </w:r>
      <w:r w:rsidRPr="006C474C">
        <w:rPr>
          <w:vertAlign w:val="subscript"/>
          <w:lang w:val="en-CA"/>
        </w:rPr>
        <w:t>4</w:t>
      </w:r>
      <w:r w:rsidRPr="006C474C">
        <w:rPr>
          <w:lang w:val="en-CA"/>
        </w:rPr>
        <w:t>(t-CNF20wt%).</w:t>
      </w:r>
    </w:p>
    <w:bookmarkEnd w:id="3"/>
    <w:p w14:paraId="26D62EB8" w14:textId="77777777" w:rsidR="006008E2" w:rsidRPr="006C474C" w:rsidRDefault="006008E2" w:rsidP="006008E2">
      <w:pPr>
        <w:autoSpaceDE w:val="0"/>
        <w:autoSpaceDN w:val="0"/>
        <w:adjustRightInd w:val="0"/>
        <w:spacing w:after="120"/>
        <w:rPr>
          <w:rFonts w:eastAsia="AdvOT999035f4"/>
          <w:color w:val="000000" w:themeColor="text1"/>
          <w:lang w:val="en-CA"/>
        </w:rPr>
      </w:pPr>
      <w:r w:rsidRPr="006C474C">
        <w:rPr>
          <w:color w:val="000000" w:themeColor="text1"/>
          <w:lang w:val="en-CA"/>
        </w:rPr>
        <w:t>Figure S9. a) CSPE topography, b) ESM amplitude, c) Frequency Shift.</w:t>
      </w:r>
    </w:p>
    <w:p w14:paraId="11C3D13C" w14:textId="2550F7DB" w:rsidR="006008E2" w:rsidRPr="006C474C" w:rsidRDefault="006008E2" w:rsidP="006008E2">
      <w:pPr>
        <w:autoSpaceDE w:val="0"/>
        <w:autoSpaceDN w:val="0"/>
        <w:adjustRightInd w:val="0"/>
        <w:spacing w:after="120"/>
        <w:rPr>
          <w:rFonts w:eastAsia="AdvOT999035f4"/>
          <w:color w:val="000000" w:themeColor="text1"/>
          <w:lang w:val="en-CA"/>
        </w:rPr>
      </w:pPr>
      <w:r w:rsidRPr="006C474C">
        <w:rPr>
          <w:rFonts w:eastAsia="AdvOT999035f4"/>
          <w:color w:val="000000" w:themeColor="text1"/>
          <w:lang w:val="en-CA"/>
        </w:rPr>
        <w:t xml:space="preserve">Figure S10. </w:t>
      </w:r>
      <w:r w:rsidR="002E40E6" w:rsidRPr="006C474C">
        <w:rPr>
          <w:rFonts w:eastAsia="AdvOT999035f4"/>
          <w:color w:val="000000" w:themeColor="text1"/>
          <w:lang w:val="en-CA"/>
        </w:rPr>
        <w:t>Chronopotentiometry of the lithium plating and stripping in a symmetric cell at room temperature.</w:t>
      </w:r>
    </w:p>
    <w:p w14:paraId="1C27DE11" w14:textId="77777777" w:rsidR="009402B9" w:rsidRPr="006C474C" w:rsidRDefault="009402B9" w:rsidP="00B33D97">
      <w:pPr>
        <w:autoSpaceDE w:val="0"/>
        <w:autoSpaceDN w:val="0"/>
        <w:adjustRightInd w:val="0"/>
        <w:spacing w:after="120"/>
        <w:rPr>
          <w:rFonts w:eastAsia="AdvOT999035f4"/>
          <w:color w:val="000000" w:themeColor="text1"/>
          <w:lang w:val="en-CA"/>
        </w:rPr>
      </w:pPr>
      <w:r w:rsidRPr="006C474C">
        <w:rPr>
          <w:rFonts w:eastAsia="AdvOT999035f4"/>
          <w:color w:val="000000" w:themeColor="text1"/>
          <w:lang w:val="en-CA"/>
        </w:rPr>
        <w:t xml:space="preserve">Figure S11. SEM images of CSPEs surface before and after CP at room temperature and 0.2 mA </w:t>
      </w:r>
      <w:proofErr w:type="gramStart"/>
      <w:r w:rsidRPr="006C474C">
        <w:rPr>
          <w:rFonts w:eastAsia="AdvOT999035f4"/>
          <w:color w:val="000000" w:themeColor="text1"/>
          <w:lang w:val="en-CA"/>
        </w:rPr>
        <w:t>cm</w:t>
      </w:r>
      <w:r w:rsidRPr="006C474C">
        <w:rPr>
          <w:rFonts w:eastAsia="AdvOT999035f4"/>
          <w:color w:val="000000" w:themeColor="text1"/>
          <w:vertAlign w:val="superscript"/>
          <w:lang w:val="en-CA"/>
        </w:rPr>
        <w:t>-2</w:t>
      </w:r>
      <w:proofErr w:type="gramEnd"/>
      <w:r w:rsidRPr="006C474C">
        <w:rPr>
          <w:rFonts w:eastAsia="AdvOT999035f4"/>
          <w:color w:val="000000" w:themeColor="text1"/>
          <w:lang w:val="en-CA"/>
        </w:rPr>
        <w:t>.</w:t>
      </w:r>
    </w:p>
    <w:p w14:paraId="04297716" w14:textId="04CF6B50" w:rsidR="00B33D97" w:rsidRPr="006C474C" w:rsidRDefault="00B33D97" w:rsidP="00B33D97">
      <w:pPr>
        <w:autoSpaceDE w:val="0"/>
        <w:autoSpaceDN w:val="0"/>
        <w:adjustRightInd w:val="0"/>
        <w:spacing w:after="120"/>
        <w:rPr>
          <w:rFonts w:eastAsia="AdvOT999035f4"/>
          <w:color w:val="000000" w:themeColor="text1"/>
          <w:lang w:val="en-CA"/>
        </w:rPr>
      </w:pPr>
      <w:bookmarkStart w:id="4" w:name="_Hlk117617600"/>
      <w:r w:rsidRPr="006C474C">
        <w:rPr>
          <w:rFonts w:eastAsia="AdvOT999035f4"/>
          <w:color w:val="000000" w:themeColor="text1"/>
          <w:lang w:val="en-CA"/>
        </w:rPr>
        <w:t>Figure S12. SEM image of a cross section composite sample PEO</w:t>
      </w:r>
      <w:r w:rsidRPr="006C474C">
        <w:rPr>
          <w:rFonts w:eastAsia="AdvOT999035f4"/>
          <w:color w:val="000000" w:themeColor="text1"/>
          <w:vertAlign w:val="subscript"/>
          <w:lang w:val="en-CA"/>
        </w:rPr>
        <w:t>100k</w:t>
      </w:r>
      <w:r w:rsidRPr="006C474C">
        <w:rPr>
          <w:rFonts w:eastAsia="AdvOT999035f4"/>
          <w:color w:val="000000" w:themeColor="text1"/>
          <w:lang w:val="en-CA"/>
        </w:rPr>
        <w:t>+LiClO</w:t>
      </w:r>
      <w:r w:rsidRPr="006C474C">
        <w:rPr>
          <w:rFonts w:eastAsia="AdvOT999035f4"/>
          <w:color w:val="000000" w:themeColor="text1"/>
          <w:vertAlign w:val="subscript"/>
          <w:lang w:val="en-CA"/>
        </w:rPr>
        <w:t>4</w:t>
      </w:r>
      <w:r w:rsidRPr="006C474C">
        <w:rPr>
          <w:rFonts w:eastAsia="AdvOT999035f4"/>
          <w:color w:val="000000" w:themeColor="text1"/>
          <w:lang w:val="en-CA"/>
        </w:rPr>
        <w:t>(t-CNF20wt%).</w:t>
      </w:r>
    </w:p>
    <w:p w14:paraId="1D93DBFB" w14:textId="1E564C4D" w:rsidR="000C74E8" w:rsidRDefault="000C74E8" w:rsidP="000C74E8">
      <w:pPr>
        <w:ind w:right="-2"/>
        <w:rPr>
          <w:lang w:val="en-CA"/>
        </w:rPr>
      </w:pPr>
      <w:r w:rsidRPr="006C474C">
        <w:rPr>
          <w:lang w:val="en-CA"/>
        </w:rPr>
        <w:t>Table S1. Comparison of the developed CSPE to PEO – based electrolytes previously reported in the literature.</w:t>
      </w:r>
    </w:p>
    <w:bookmarkEnd w:id="4"/>
    <w:p w14:paraId="60FB3A5C" w14:textId="77777777" w:rsidR="009B7E8A" w:rsidRPr="007A4F96" w:rsidRDefault="009B7E8A" w:rsidP="009B7E8A">
      <w:pPr>
        <w:rPr>
          <w:b/>
          <w:bCs/>
          <w:i/>
          <w:iCs/>
          <w:lang w:val="en-CA"/>
        </w:rPr>
      </w:pPr>
    </w:p>
    <w:p w14:paraId="693E5658" w14:textId="2FF4CD17" w:rsidR="00683090" w:rsidRPr="009B7E8A" w:rsidRDefault="009B7E8A" w:rsidP="009B7E8A">
      <w:pPr>
        <w:rPr>
          <w:b/>
          <w:bCs/>
        </w:rPr>
      </w:pPr>
      <w:r w:rsidRPr="009B7E8A">
        <w:rPr>
          <w:b/>
          <w:bCs/>
        </w:rPr>
        <w:t>Notes</w:t>
      </w:r>
    </w:p>
    <w:p w14:paraId="787B2214" w14:textId="5F290D4C" w:rsidR="00CC16CA" w:rsidRDefault="00CC16CA" w:rsidP="00CC16CA">
      <w:pPr>
        <w:contextualSpacing/>
        <w:rPr>
          <w:bCs/>
          <w:lang w:val="en-CA"/>
        </w:rPr>
      </w:pPr>
      <w:r w:rsidRPr="00D120AC">
        <w:rPr>
          <w:bCs/>
          <w:lang w:val="en-CA"/>
        </w:rPr>
        <w:t xml:space="preserve">The authors declare no </w:t>
      </w:r>
      <w:r w:rsidR="002A4624">
        <w:rPr>
          <w:bCs/>
          <w:lang w:val="en-CA"/>
        </w:rPr>
        <w:t>competing financial interest.</w:t>
      </w:r>
    </w:p>
    <w:p w14:paraId="58E3B891" w14:textId="332C6EEA" w:rsidR="002A4624" w:rsidRDefault="002A4624" w:rsidP="00CC16CA">
      <w:pPr>
        <w:contextualSpacing/>
        <w:rPr>
          <w:bCs/>
          <w:lang w:val="en-CA"/>
        </w:rPr>
      </w:pPr>
    </w:p>
    <w:p w14:paraId="2776E02A" w14:textId="77777777" w:rsidR="002A4624" w:rsidRPr="00D120AC" w:rsidRDefault="002A4624" w:rsidP="002A4624">
      <w:pPr>
        <w:pStyle w:val="berschrift1"/>
        <w:numPr>
          <w:ilvl w:val="0"/>
          <w:numId w:val="0"/>
        </w:numPr>
      </w:pPr>
      <w:r w:rsidRPr="00D120AC">
        <w:lastRenderedPageBreak/>
        <w:t>Acknowledgements</w:t>
      </w:r>
    </w:p>
    <w:p w14:paraId="168267A7" w14:textId="7281136F" w:rsidR="002A4624" w:rsidRDefault="007E447C" w:rsidP="002A4624">
      <w:pPr>
        <w:autoSpaceDE w:val="0"/>
        <w:autoSpaceDN w:val="0"/>
        <w:adjustRightInd w:val="0"/>
        <w:spacing w:line="480" w:lineRule="auto"/>
        <w:ind w:firstLine="708"/>
        <w:rPr>
          <w:lang w:val="en-CA"/>
        </w:rPr>
      </w:pPr>
      <w:r w:rsidRPr="007E447C">
        <w:rPr>
          <w:lang w:val="en-CA"/>
        </w:rPr>
        <w:t>Gleb Bobrov, Stephanie A. Kedzior, Aleksandra Govedarica and Milana Trifkovic are</w:t>
      </w:r>
      <w:r>
        <w:rPr>
          <w:lang w:val="en-CA"/>
        </w:rPr>
        <w:t xml:space="preserve"> grateful for </w:t>
      </w:r>
      <w:r w:rsidR="002A4624" w:rsidRPr="00D120AC">
        <w:rPr>
          <w:lang w:val="en-CA"/>
        </w:rPr>
        <w:t>support</w:t>
      </w:r>
      <w:r>
        <w:rPr>
          <w:lang w:val="en-CA"/>
        </w:rPr>
        <w:t xml:space="preserve"> and funding of the equipment</w:t>
      </w:r>
      <w:r w:rsidR="002A4624" w:rsidRPr="00D120AC">
        <w:rPr>
          <w:lang w:val="en-CA"/>
        </w:rPr>
        <w:t xml:space="preserve"> </w:t>
      </w:r>
      <w:r>
        <w:rPr>
          <w:lang w:val="en-CA"/>
        </w:rPr>
        <w:t>from</w:t>
      </w:r>
      <w:r w:rsidR="002A4624" w:rsidRPr="00D120AC">
        <w:rPr>
          <w:lang w:val="en-CA"/>
        </w:rPr>
        <w:t xml:space="preserve"> the Natural Sciences and Engineering Research Council of Canada (NSERC) CREATE grant 495455-2017. </w:t>
      </w:r>
      <w:r w:rsidRPr="007E447C">
        <w:rPr>
          <w:lang w:val="en-CA"/>
        </w:rPr>
        <w:t>Stephanie A. Kedzior</w:t>
      </w:r>
      <w:r w:rsidRPr="00D120AC">
        <w:rPr>
          <w:lang w:val="en-CA"/>
        </w:rPr>
        <w:t xml:space="preserve"> </w:t>
      </w:r>
      <w:r>
        <w:rPr>
          <w:lang w:val="en-CA"/>
        </w:rPr>
        <w:t>is</w:t>
      </w:r>
      <w:r w:rsidR="002A4624" w:rsidRPr="00D120AC">
        <w:rPr>
          <w:lang w:val="en-CA"/>
        </w:rPr>
        <w:t xml:space="preserve"> grateful for funding from the NSERC in the form of a Postdoctoral Fellowship. </w:t>
      </w:r>
      <w:r w:rsidRPr="007E447C">
        <w:rPr>
          <w:lang w:val="en-CA"/>
        </w:rPr>
        <w:t xml:space="preserve">Syed Atif Pervez, Gabriele </w:t>
      </w:r>
      <w:proofErr w:type="spellStart"/>
      <w:r w:rsidRPr="007E447C">
        <w:rPr>
          <w:lang w:val="en-CA"/>
        </w:rPr>
        <w:t>Kloker</w:t>
      </w:r>
      <w:proofErr w:type="spellEnd"/>
      <w:r w:rsidRPr="007E447C">
        <w:rPr>
          <w:lang w:val="en-CA"/>
        </w:rPr>
        <w:t xml:space="preserve"> and Maximilian </w:t>
      </w:r>
      <w:proofErr w:type="spellStart"/>
      <w:r w:rsidRPr="007E447C">
        <w:rPr>
          <w:lang w:val="en-CA"/>
        </w:rPr>
        <w:t>Fichtner</w:t>
      </w:r>
      <w:proofErr w:type="spellEnd"/>
      <w:r w:rsidRPr="007E447C">
        <w:rPr>
          <w:lang w:val="en-CA"/>
        </w:rPr>
        <w:t xml:space="preserve"> </w:t>
      </w:r>
      <w:r>
        <w:rPr>
          <w:lang w:val="en-CA"/>
        </w:rPr>
        <w:t>received funding</w:t>
      </w:r>
      <w:r w:rsidRPr="007E447C">
        <w:rPr>
          <w:lang w:val="en-CA"/>
        </w:rPr>
        <w:t xml:space="preserve"> from Deutsche</w:t>
      </w:r>
      <w:r w:rsidRPr="00D120AC">
        <w:rPr>
          <w:lang w:val="en-CA"/>
        </w:rPr>
        <w:t xml:space="preserve"> </w:t>
      </w:r>
      <w:proofErr w:type="spellStart"/>
      <w:r w:rsidRPr="00D120AC">
        <w:rPr>
          <w:lang w:val="en-CA"/>
        </w:rPr>
        <w:t>Forschungsgemeinschaft</w:t>
      </w:r>
      <w:proofErr w:type="spellEnd"/>
      <w:r w:rsidRPr="00D120AC">
        <w:rPr>
          <w:lang w:val="en-CA"/>
        </w:rPr>
        <w:t xml:space="preserve"> (DFG, German Research Foundation) under Germanys Excellence </w:t>
      </w:r>
      <w:r w:rsidRPr="006C474C">
        <w:rPr>
          <w:lang w:val="en-CA"/>
        </w:rPr>
        <w:t xml:space="preserve">Strategy EXC 2154, project number 390874152. </w:t>
      </w:r>
      <w:r w:rsidR="002A4624" w:rsidRPr="006C474C">
        <w:rPr>
          <w:lang w:val="en-CA"/>
        </w:rPr>
        <w:t xml:space="preserve">The work contributes to the research performed at CELEST (Center for Electrochemical Energy Storage Ulm-Karlsruhe). </w:t>
      </w:r>
      <w:r w:rsidR="007E3C07" w:rsidRPr="006C474C">
        <w:rPr>
          <w:lang w:val="en-CA"/>
        </w:rPr>
        <w:t xml:space="preserve">Philipp Veelken and Florian Hausen are thankful for financial support from </w:t>
      </w:r>
      <w:r w:rsidR="007E3C07" w:rsidRPr="007E3C07">
        <w:rPr>
          <w:lang w:val="en-CA"/>
        </w:rPr>
        <w:t>the project “Materials and Components to Meet High Energy Density Batteries</w:t>
      </w:r>
      <w:r w:rsidR="007E3C07" w:rsidRPr="006C474C">
        <w:rPr>
          <w:lang w:val="en-CA"/>
        </w:rPr>
        <w:t xml:space="preserve"> </w:t>
      </w:r>
      <w:r w:rsidR="007E3C07" w:rsidRPr="007E3C07">
        <w:rPr>
          <w:lang w:val="en-CA"/>
        </w:rPr>
        <w:t xml:space="preserve">III” of the funding program “Excellent </w:t>
      </w:r>
      <w:r w:rsidR="00F1221A" w:rsidRPr="006C474C">
        <w:rPr>
          <w:lang w:val="en-CA"/>
        </w:rPr>
        <w:t>B</w:t>
      </w:r>
      <w:r w:rsidR="007E3C07" w:rsidRPr="007E3C07">
        <w:rPr>
          <w:lang w:val="en-CA"/>
        </w:rPr>
        <w:t>attery” from the</w:t>
      </w:r>
      <w:r w:rsidR="007E3C07" w:rsidRPr="006C474C">
        <w:rPr>
          <w:lang w:val="en-CA"/>
        </w:rPr>
        <w:t xml:space="preserve"> </w:t>
      </w:r>
      <w:proofErr w:type="spellStart"/>
      <w:r w:rsidR="007E3C07" w:rsidRPr="007E3C07">
        <w:rPr>
          <w:lang w:val="en-CA"/>
        </w:rPr>
        <w:t>Bundesministerium</w:t>
      </w:r>
      <w:proofErr w:type="spellEnd"/>
      <w:r w:rsidR="007E3C07" w:rsidRPr="007E3C07">
        <w:rPr>
          <w:lang w:val="en-CA"/>
        </w:rPr>
        <w:t xml:space="preserve"> für </w:t>
      </w:r>
      <w:proofErr w:type="spellStart"/>
      <w:r w:rsidR="007E3C07" w:rsidRPr="007E3C07">
        <w:rPr>
          <w:lang w:val="en-CA"/>
        </w:rPr>
        <w:t>Bildung</w:t>
      </w:r>
      <w:proofErr w:type="spellEnd"/>
      <w:r w:rsidR="007E3C07" w:rsidRPr="007E3C07">
        <w:rPr>
          <w:lang w:val="en-CA"/>
        </w:rPr>
        <w:t xml:space="preserve"> und </w:t>
      </w:r>
      <w:proofErr w:type="spellStart"/>
      <w:r w:rsidR="007E3C07" w:rsidRPr="007E3C07">
        <w:rPr>
          <w:lang w:val="en-CA"/>
        </w:rPr>
        <w:t>Forschung</w:t>
      </w:r>
      <w:proofErr w:type="spellEnd"/>
      <w:r w:rsidR="007E3C07" w:rsidRPr="007E3C07">
        <w:rPr>
          <w:lang w:val="en-CA"/>
        </w:rPr>
        <w:t xml:space="preserve"> (BMBF) (Project No.</w:t>
      </w:r>
      <w:r w:rsidR="00F1221A" w:rsidRPr="006C474C">
        <w:rPr>
          <w:lang w:val="en-CA"/>
        </w:rPr>
        <w:t xml:space="preserve"> 13XP0258B</w:t>
      </w:r>
      <w:r w:rsidR="007E3C07" w:rsidRPr="007E3C07">
        <w:rPr>
          <w:lang w:val="en-CA"/>
        </w:rPr>
        <w:t>)</w:t>
      </w:r>
      <w:r w:rsidR="00F1221A" w:rsidRPr="006C474C">
        <w:rPr>
          <w:lang w:val="en-CA"/>
        </w:rPr>
        <w:t xml:space="preserve">, and the project “High Performance Solid-State Batteries” (HIPSTER) from “Ministerium </w:t>
      </w:r>
      <w:r w:rsidR="00F1221A" w:rsidRPr="007E3C07">
        <w:rPr>
          <w:lang w:val="en-CA"/>
        </w:rPr>
        <w:t>für</w:t>
      </w:r>
      <w:r w:rsidR="00F1221A" w:rsidRPr="006C474C">
        <w:rPr>
          <w:lang w:val="en-CA"/>
        </w:rPr>
        <w:t xml:space="preserve"> Kultur und </w:t>
      </w:r>
      <w:proofErr w:type="spellStart"/>
      <w:r w:rsidR="00F1221A" w:rsidRPr="006C474C">
        <w:rPr>
          <w:lang w:val="en-CA"/>
        </w:rPr>
        <w:t>Wissenschaft</w:t>
      </w:r>
      <w:proofErr w:type="spellEnd"/>
      <w:r w:rsidR="00F1221A" w:rsidRPr="006C474C">
        <w:rPr>
          <w:lang w:val="en-CA"/>
        </w:rPr>
        <w:t xml:space="preserve"> des </w:t>
      </w:r>
      <w:proofErr w:type="spellStart"/>
      <w:r w:rsidR="00F1221A" w:rsidRPr="006C474C">
        <w:rPr>
          <w:lang w:val="en-CA"/>
        </w:rPr>
        <w:t>Landes</w:t>
      </w:r>
      <w:proofErr w:type="spellEnd"/>
      <w:r w:rsidR="00F1221A" w:rsidRPr="006C474C">
        <w:rPr>
          <w:lang w:val="en-CA"/>
        </w:rPr>
        <w:t xml:space="preserve"> </w:t>
      </w:r>
      <w:proofErr w:type="spellStart"/>
      <w:r w:rsidR="00F1221A" w:rsidRPr="006C474C">
        <w:rPr>
          <w:lang w:val="en-CA"/>
        </w:rPr>
        <w:t>Bordrhein</w:t>
      </w:r>
      <w:proofErr w:type="spellEnd"/>
      <w:r w:rsidR="00F1221A" w:rsidRPr="006C474C">
        <w:rPr>
          <w:lang w:val="en-CA"/>
        </w:rPr>
        <w:t>-Westfalen”</w:t>
      </w:r>
      <w:r w:rsidR="007E3C07" w:rsidRPr="006C474C">
        <w:rPr>
          <w:lang w:val="en-CA"/>
        </w:rPr>
        <w:t xml:space="preserve">. </w:t>
      </w:r>
      <w:r w:rsidR="00921A04" w:rsidRPr="006C474C">
        <w:rPr>
          <w:lang w:val="en-CA"/>
        </w:rPr>
        <w:t>For ESM</w:t>
      </w:r>
      <w:r w:rsidR="00921A04">
        <w:rPr>
          <w:lang w:val="en-CA"/>
        </w:rPr>
        <w:t xml:space="preserve"> research conducted by </w:t>
      </w:r>
      <w:proofErr w:type="spellStart"/>
      <w:r>
        <w:rPr>
          <w:lang w:val="en-CA"/>
        </w:rPr>
        <w:t>Gleb</w:t>
      </w:r>
      <w:proofErr w:type="spellEnd"/>
      <w:r>
        <w:rPr>
          <w:lang w:val="en-CA"/>
        </w:rPr>
        <w:t xml:space="preserve"> Bobrov </w:t>
      </w:r>
      <w:r w:rsidR="00921A04" w:rsidRPr="00921A04">
        <w:rPr>
          <w:lang w:val="en-CA"/>
        </w:rPr>
        <w:t xml:space="preserve">at </w:t>
      </w:r>
      <w:proofErr w:type="spellStart"/>
      <w:r w:rsidR="00921A04" w:rsidRPr="00921A04">
        <w:rPr>
          <w:lang w:val="en-CA"/>
        </w:rPr>
        <w:t>Forschungszentrum</w:t>
      </w:r>
      <w:proofErr w:type="spellEnd"/>
      <w:r w:rsidR="00921A04" w:rsidRPr="00921A04">
        <w:rPr>
          <w:lang w:val="en-CA"/>
        </w:rPr>
        <w:t xml:space="preserve"> </w:t>
      </w:r>
      <w:proofErr w:type="spellStart"/>
      <w:r w:rsidR="00921A04" w:rsidRPr="00921A04">
        <w:rPr>
          <w:lang w:val="en-CA"/>
        </w:rPr>
        <w:t>Juelich</w:t>
      </w:r>
      <w:proofErr w:type="spellEnd"/>
      <w:r w:rsidR="00921A04">
        <w:rPr>
          <w:lang w:val="en-CA"/>
        </w:rPr>
        <w:t xml:space="preserve"> he </w:t>
      </w:r>
      <w:proofErr w:type="gramStart"/>
      <w:r>
        <w:rPr>
          <w:lang w:val="en-CA"/>
        </w:rPr>
        <w:t>was funded</w:t>
      </w:r>
      <w:proofErr w:type="gramEnd"/>
      <w:r>
        <w:rPr>
          <w:lang w:val="en-CA"/>
        </w:rPr>
        <w:t xml:space="preserve"> by MITACS </w:t>
      </w:r>
      <w:proofErr w:type="spellStart"/>
      <w:r w:rsidR="00921A04">
        <w:rPr>
          <w:lang w:val="en-CA"/>
        </w:rPr>
        <w:t>Globalink</w:t>
      </w:r>
      <w:proofErr w:type="spellEnd"/>
      <w:r w:rsidR="00921A04">
        <w:rPr>
          <w:lang w:val="en-CA"/>
        </w:rPr>
        <w:t xml:space="preserve"> Research Award FR70421. A</w:t>
      </w:r>
      <w:r w:rsidR="002A4624" w:rsidRPr="00D120AC">
        <w:rPr>
          <w:lang w:val="en-CA"/>
        </w:rPr>
        <w:t>uthors acknowledge CMC microsystems for access to the Avizo software package, Dr. Joanna Wong for access to DSC instrument, and Brian Baillie for his expertise on and conduction of ICP analysis, Mr. Rajas Shah for his help in rheological measurements.</w:t>
      </w:r>
    </w:p>
    <w:p w14:paraId="5D14E20D" w14:textId="77777777" w:rsidR="00FF63F7" w:rsidRPr="00D120AC" w:rsidRDefault="00FF63F7" w:rsidP="00CC16CA">
      <w:pPr>
        <w:autoSpaceDE w:val="0"/>
        <w:autoSpaceDN w:val="0"/>
        <w:adjustRightInd w:val="0"/>
        <w:spacing w:line="480" w:lineRule="auto"/>
        <w:rPr>
          <w:lang w:val="en-CA"/>
        </w:rPr>
      </w:pPr>
    </w:p>
    <w:sdt>
      <w:sdtPr>
        <w:rPr>
          <w:b/>
          <w:lang w:val="en-CA"/>
        </w:rPr>
        <w:id w:val="-1731461919"/>
        <w:docPartObj>
          <w:docPartGallery w:val="Bibliographies"/>
          <w:docPartUnique/>
        </w:docPartObj>
      </w:sdtPr>
      <w:sdtEndPr>
        <w:rPr>
          <w:b w:val="0"/>
        </w:rPr>
      </w:sdtEndPr>
      <w:sdtContent>
        <w:p w14:paraId="02BC658E" w14:textId="77777777" w:rsidR="00872A4B" w:rsidRPr="00D120AC" w:rsidRDefault="00872A4B" w:rsidP="00872A4B">
          <w:pPr>
            <w:spacing w:line="276" w:lineRule="auto"/>
            <w:rPr>
              <w:rStyle w:val="berschrift1Zchn"/>
            </w:rPr>
          </w:pPr>
          <w:r w:rsidRPr="00D120AC">
            <w:rPr>
              <w:rStyle w:val="berschrift1Zchn"/>
            </w:rPr>
            <w:t>References</w:t>
          </w:r>
        </w:p>
        <w:p w14:paraId="1090B9DA" w14:textId="1415C17C" w:rsidR="00872A4B" w:rsidRPr="00D120AC" w:rsidRDefault="00872A4B" w:rsidP="00B15BDB">
          <w:pPr>
            <w:widowControl w:val="0"/>
            <w:autoSpaceDE w:val="0"/>
            <w:autoSpaceDN w:val="0"/>
            <w:adjustRightInd w:val="0"/>
            <w:ind w:left="640" w:hanging="640"/>
            <w:rPr>
              <w:noProof/>
              <w:lang w:val="en-CA"/>
            </w:rPr>
          </w:pPr>
          <w:r w:rsidRPr="00D120AC">
            <w:rPr>
              <w:rStyle w:val="berschrift1Zchn"/>
            </w:rPr>
            <w:fldChar w:fldCharType="begin" w:fldLock="1"/>
          </w:r>
          <w:r w:rsidRPr="00D120AC">
            <w:rPr>
              <w:rStyle w:val="berschrift1Zchn"/>
            </w:rPr>
            <w:instrText xml:space="preserve">ADDIN Mendeley Bibliography CSL_BIBLIOGRAPHY </w:instrText>
          </w:r>
          <w:r w:rsidRPr="00D120AC">
            <w:rPr>
              <w:rStyle w:val="berschrift1Zchn"/>
            </w:rPr>
            <w:fldChar w:fldCharType="separate"/>
          </w:r>
          <w:r w:rsidRPr="00D120AC">
            <w:rPr>
              <w:noProof/>
              <w:lang w:val="en-CA"/>
            </w:rPr>
            <w:t>[1]</w:t>
          </w:r>
          <w:r w:rsidRPr="00D120AC">
            <w:rPr>
              <w:noProof/>
              <w:lang w:val="en-CA"/>
            </w:rPr>
            <w:tab/>
            <w:t>M. Armand</w:t>
          </w:r>
          <w:r w:rsidR="00CE7359">
            <w:rPr>
              <w:noProof/>
              <w:lang w:val="en-CA"/>
            </w:rPr>
            <w:t xml:space="preserve">. </w:t>
          </w:r>
          <w:r w:rsidR="00571C22" w:rsidRPr="00D120AC">
            <w:rPr>
              <w:noProof/>
              <w:lang w:val="en-CA"/>
            </w:rPr>
            <w:t>“</w:t>
          </w:r>
          <w:r w:rsidRPr="00D120AC">
            <w:rPr>
              <w:noProof/>
              <w:lang w:val="en-CA"/>
            </w:rPr>
            <w:t xml:space="preserve">Nature Lithium Battery,” </w:t>
          </w:r>
          <w:r w:rsidRPr="00D120AC">
            <w:rPr>
              <w:i/>
              <w:iCs/>
              <w:noProof/>
              <w:lang w:val="en-CA"/>
            </w:rPr>
            <w:t>Nature</w:t>
          </w:r>
          <w:r w:rsidRPr="00D120AC">
            <w:rPr>
              <w:noProof/>
              <w:lang w:val="en-CA"/>
            </w:rPr>
            <w:t>, vol. 414, no. November, pp. 359–367, 2001, doi: 10.1038/35104644.</w:t>
          </w:r>
        </w:p>
        <w:p w14:paraId="1B369BB1" w14:textId="77777777" w:rsidR="00872A4B" w:rsidRPr="00D120AC" w:rsidRDefault="00872A4B" w:rsidP="00B15BDB">
          <w:pPr>
            <w:widowControl w:val="0"/>
            <w:autoSpaceDE w:val="0"/>
            <w:autoSpaceDN w:val="0"/>
            <w:adjustRightInd w:val="0"/>
            <w:ind w:left="640" w:hanging="640"/>
            <w:rPr>
              <w:noProof/>
              <w:lang w:val="en-CA"/>
            </w:rPr>
          </w:pPr>
          <w:r w:rsidRPr="00D120AC">
            <w:rPr>
              <w:noProof/>
              <w:lang w:val="en-CA"/>
            </w:rPr>
            <w:t>[2]</w:t>
          </w:r>
          <w:r w:rsidRPr="00D120AC">
            <w:rPr>
              <w:noProof/>
              <w:lang w:val="en-CA"/>
            </w:rPr>
            <w:tab/>
            <w:t xml:space="preserve">Mauger, Julien, Paolella, Armand, and Zaghib, “Building Better Batteries in the Solid State: A Review,” </w:t>
          </w:r>
          <w:r w:rsidRPr="00D120AC">
            <w:rPr>
              <w:i/>
              <w:iCs/>
              <w:noProof/>
              <w:lang w:val="en-CA"/>
            </w:rPr>
            <w:t>Materials (Basel).</w:t>
          </w:r>
          <w:r w:rsidRPr="00D120AC">
            <w:rPr>
              <w:noProof/>
              <w:lang w:val="en-CA"/>
            </w:rPr>
            <w:t>, vol. 12, no. 23, p. 3892, 2019, doi: 10.3390/ma12233892.</w:t>
          </w:r>
        </w:p>
        <w:p w14:paraId="18FFA853" w14:textId="77777777" w:rsidR="00872A4B" w:rsidRPr="00D120AC" w:rsidRDefault="00872A4B" w:rsidP="00B15BDB">
          <w:pPr>
            <w:widowControl w:val="0"/>
            <w:autoSpaceDE w:val="0"/>
            <w:autoSpaceDN w:val="0"/>
            <w:adjustRightInd w:val="0"/>
            <w:ind w:left="640" w:hanging="640"/>
            <w:rPr>
              <w:noProof/>
              <w:lang w:val="en-CA"/>
            </w:rPr>
          </w:pPr>
          <w:r w:rsidRPr="00D120AC">
            <w:rPr>
              <w:noProof/>
              <w:lang w:val="en-CA"/>
            </w:rPr>
            <w:lastRenderedPageBreak/>
            <w:t>[3]</w:t>
          </w:r>
          <w:r w:rsidRPr="00D120AC">
            <w:rPr>
              <w:noProof/>
              <w:lang w:val="en-CA"/>
            </w:rPr>
            <w:tab/>
            <w:t xml:space="preserve">X. Zhang, A. Wang, X. Liu, and J. Luo, “Dendrites in Lithium Metal Anodes: Suppression, Regulation, and Elimination,” </w:t>
          </w:r>
          <w:r w:rsidRPr="00D120AC">
            <w:rPr>
              <w:i/>
              <w:iCs/>
              <w:noProof/>
              <w:lang w:val="en-CA"/>
            </w:rPr>
            <w:t>Acc. Chem. Res.</w:t>
          </w:r>
          <w:r w:rsidRPr="00D120AC">
            <w:rPr>
              <w:noProof/>
              <w:lang w:val="en-CA"/>
            </w:rPr>
            <w:t>, vol. 52, no. 11, pp. 3223–3232, 2019, doi: 10.1021/acs.accounts.9b00437.</w:t>
          </w:r>
        </w:p>
        <w:p w14:paraId="22E93585" w14:textId="77777777" w:rsidR="00872A4B" w:rsidRPr="00D120AC" w:rsidRDefault="00872A4B" w:rsidP="00B15BDB">
          <w:pPr>
            <w:widowControl w:val="0"/>
            <w:autoSpaceDE w:val="0"/>
            <w:autoSpaceDN w:val="0"/>
            <w:adjustRightInd w:val="0"/>
            <w:ind w:left="640" w:hanging="640"/>
            <w:rPr>
              <w:noProof/>
              <w:lang w:val="en-CA"/>
            </w:rPr>
          </w:pPr>
          <w:r w:rsidRPr="00D120AC">
            <w:rPr>
              <w:noProof/>
              <w:lang w:val="en-CA"/>
            </w:rPr>
            <w:t>[4]</w:t>
          </w:r>
          <w:r w:rsidRPr="00D120AC">
            <w:rPr>
              <w:noProof/>
              <w:lang w:val="en-CA"/>
            </w:rPr>
            <w:tab/>
            <w:t xml:space="preserve">D. Wang, W. Zhang, W. Zheng, X. Cui, T. Rojo, and Q. Zhang, “Towards High-Safe Lithium Metal Anodes: Suppressing Lithium Dendrites via Tuning Surface Energy,” </w:t>
          </w:r>
          <w:r w:rsidRPr="00D120AC">
            <w:rPr>
              <w:i/>
              <w:iCs/>
              <w:noProof/>
              <w:lang w:val="en-CA"/>
            </w:rPr>
            <w:t>Adv. Sci.</w:t>
          </w:r>
          <w:r w:rsidRPr="00D120AC">
            <w:rPr>
              <w:noProof/>
              <w:lang w:val="en-CA"/>
            </w:rPr>
            <w:t>, vol. 4, no. 1, 2017, doi: 10.1002/advs.201600168.</w:t>
          </w:r>
        </w:p>
        <w:p w14:paraId="67B70016" w14:textId="2CD9BDE5" w:rsidR="00872A4B" w:rsidRPr="00D120AC" w:rsidRDefault="00872A4B" w:rsidP="00B15BDB">
          <w:pPr>
            <w:widowControl w:val="0"/>
            <w:autoSpaceDE w:val="0"/>
            <w:autoSpaceDN w:val="0"/>
            <w:adjustRightInd w:val="0"/>
            <w:ind w:left="640" w:hanging="640"/>
            <w:rPr>
              <w:noProof/>
              <w:lang w:val="en-CA"/>
            </w:rPr>
          </w:pPr>
          <w:r w:rsidRPr="00D120AC">
            <w:rPr>
              <w:noProof/>
              <w:lang w:val="en-CA"/>
            </w:rPr>
            <w:t>[5]</w:t>
          </w:r>
          <w:r w:rsidRPr="00D120AC">
            <w:rPr>
              <w:noProof/>
              <w:lang w:val="en-CA"/>
            </w:rPr>
            <w:tab/>
          </w:r>
          <w:r w:rsidR="007153C1" w:rsidRPr="00D120AC">
            <w:rPr>
              <w:color w:val="222222"/>
              <w:shd w:val="clear" w:color="auto" w:fill="FFFFFF"/>
              <w:lang w:val="en-CA"/>
            </w:rPr>
            <w:t>Li, S., Zhang, S.Q., Shen, L., Liu, Q., Ma, J.B., Lv, W., He, Y.B. and Yang, Q.H.</w:t>
          </w:r>
          <w:r w:rsidRPr="00D120AC">
            <w:rPr>
              <w:noProof/>
              <w:lang w:val="en-CA"/>
            </w:rPr>
            <w:t xml:space="preserve">, “Progress and Perspective of Ceramic/Polymer Composite Solid Electrolytes for Lithium Batteries,” </w:t>
          </w:r>
          <w:r w:rsidRPr="00D120AC">
            <w:rPr>
              <w:i/>
              <w:iCs/>
              <w:noProof/>
              <w:lang w:val="en-CA"/>
            </w:rPr>
            <w:t>Adv. Sci.</w:t>
          </w:r>
          <w:r w:rsidRPr="00D120AC">
            <w:rPr>
              <w:noProof/>
              <w:lang w:val="en-CA"/>
            </w:rPr>
            <w:t>, vol. 7, no. 5, 2020, doi: 10.1002/advs.201903088.</w:t>
          </w:r>
        </w:p>
        <w:p w14:paraId="728B44D9" w14:textId="5F99EF34" w:rsidR="00872A4B" w:rsidRPr="00D120AC" w:rsidRDefault="00872A4B" w:rsidP="00B15BDB">
          <w:pPr>
            <w:widowControl w:val="0"/>
            <w:autoSpaceDE w:val="0"/>
            <w:autoSpaceDN w:val="0"/>
            <w:adjustRightInd w:val="0"/>
            <w:ind w:left="640" w:hanging="640"/>
            <w:rPr>
              <w:noProof/>
              <w:lang w:val="en-CA"/>
            </w:rPr>
          </w:pPr>
          <w:r w:rsidRPr="00D120AC">
            <w:rPr>
              <w:noProof/>
              <w:lang w:val="en-CA"/>
            </w:rPr>
            <w:t>[6]</w:t>
          </w:r>
          <w:r w:rsidRPr="00D120AC">
            <w:rPr>
              <w:noProof/>
              <w:lang w:val="en-CA"/>
            </w:rPr>
            <w:tab/>
            <w:t xml:space="preserve">A. Arya and A. L. Sharma, </w:t>
          </w:r>
          <w:r w:rsidR="00571C22" w:rsidRPr="00571C22">
            <w:rPr>
              <w:noProof/>
              <w:lang w:val="en-CA"/>
            </w:rPr>
            <w:t>“</w:t>
          </w:r>
          <w:r w:rsidRPr="00571C22">
            <w:rPr>
              <w:noProof/>
              <w:lang w:val="en-CA"/>
            </w:rPr>
            <w:t xml:space="preserve">Polymer </w:t>
          </w:r>
          <w:r w:rsidR="00571C22" w:rsidRPr="00571C22">
            <w:rPr>
              <w:noProof/>
              <w:lang w:val="en-CA"/>
            </w:rPr>
            <w:t xml:space="preserve">Electrolytes </w:t>
          </w:r>
          <w:r w:rsidR="00571C22">
            <w:rPr>
              <w:noProof/>
              <w:lang w:val="en-CA"/>
            </w:rPr>
            <w:t>f</w:t>
          </w:r>
          <w:r w:rsidR="00571C22" w:rsidRPr="00571C22">
            <w:rPr>
              <w:noProof/>
              <w:lang w:val="en-CA"/>
            </w:rPr>
            <w:t xml:space="preserve">or Lithium Ion Batteries: </w:t>
          </w:r>
          <w:r w:rsidR="00571C22">
            <w:rPr>
              <w:noProof/>
              <w:lang w:val="en-CA"/>
            </w:rPr>
            <w:t>A</w:t>
          </w:r>
          <w:r w:rsidR="00571C22" w:rsidRPr="00571C22">
            <w:rPr>
              <w:noProof/>
              <w:lang w:val="en-CA"/>
            </w:rPr>
            <w:t xml:space="preserve"> Critical Study, ”</w:t>
          </w:r>
          <w:r w:rsidRPr="00D120AC">
            <w:rPr>
              <w:noProof/>
              <w:lang w:val="en-CA"/>
            </w:rPr>
            <w:t xml:space="preserve"> vol. 23, no. 3. </w:t>
          </w:r>
          <w:r w:rsidRPr="00571C22">
            <w:rPr>
              <w:i/>
              <w:iCs/>
              <w:noProof/>
              <w:lang w:val="en-CA"/>
            </w:rPr>
            <w:t>Ionics</w:t>
          </w:r>
          <w:r w:rsidRPr="00D120AC">
            <w:rPr>
              <w:noProof/>
              <w:lang w:val="en-CA"/>
            </w:rPr>
            <w:t>, 2017.</w:t>
          </w:r>
        </w:p>
        <w:p w14:paraId="63DD3882" w14:textId="37538D17" w:rsidR="00872A4B" w:rsidRPr="00D120AC" w:rsidRDefault="00872A4B" w:rsidP="00B15BDB">
          <w:pPr>
            <w:widowControl w:val="0"/>
            <w:autoSpaceDE w:val="0"/>
            <w:autoSpaceDN w:val="0"/>
            <w:adjustRightInd w:val="0"/>
            <w:ind w:left="640" w:hanging="640"/>
            <w:rPr>
              <w:noProof/>
              <w:lang w:val="en-CA"/>
            </w:rPr>
          </w:pPr>
          <w:r w:rsidRPr="00D120AC">
            <w:rPr>
              <w:noProof/>
              <w:lang w:val="en-CA"/>
            </w:rPr>
            <w:t>[7]</w:t>
          </w:r>
          <w:r w:rsidRPr="00D120AC">
            <w:rPr>
              <w:noProof/>
              <w:lang w:val="en-CA"/>
            </w:rPr>
            <w:tab/>
            <w:t xml:space="preserve">S. B. Aziz, T. J. Woo, M. F. Z. Kadir, and H. M. Ahmed, “A </w:t>
          </w:r>
          <w:r w:rsidR="00571C22" w:rsidRPr="00D120AC">
            <w:rPr>
              <w:noProof/>
              <w:lang w:val="en-CA"/>
            </w:rPr>
            <w:t xml:space="preserve">Conceptual Review </w:t>
          </w:r>
          <w:r w:rsidR="00571C22">
            <w:rPr>
              <w:noProof/>
              <w:lang w:val="en-CA"/>
            </w:rPr>
            <w:t>o</w:t>
          </w:r>
          <w:r w:rsidR="00571C22" w:rsidRPr="00D120AC">
            <w:rPr>
              <w:noProof/>
              <w:lang w:val="en-CA"/>
            </w:rPr>
            <w:t xml:space="preserve">n Polymer Electrolytes </w:t>
          </w:r>
          <w:r w:rsidR="00571C22">
            <w:rPr>
              <w:noProof/>
              <w:lang w:val="en-CA"/>
            </w:rPr>
            <w:t>a</w:t>
          </w:r>
          <w:r w:rsidR="00571C22" w:rsidRPr="00D120AC">
            <w:rPr>
              <w:noProof/>
              <w:lang w:val="en-CA"/>
            </w:rPr>
            <w:t>nd Ion Transport Models</w:t>
          </w:r>
          <w:r w:rsidRPr="00D120AC">
            <w:rPr>
              <w:noProof/>
              <w:lang w:val="en-CA"/>
            </w:rPr>
            <w:t xml:space="preserve">,” </w:t>
          </w:r>
          <w:r w:rsidRPr="00D120AC">
            <w:rPr>
              <w:i/>
              <w:iCs/>
              <w:noProof/>
              <w:lang w:val="en-CA"/>
            </w:rPr>
            <w:t>J. Sci. Adv. Mater. Devices</w:t>
          </w:r>
          <w:r w:rsidRPr="00D120AC">
            <w:rPr>
              <w:noProof/>
              <w:lang w:val="en-CA"/>
            </w:rPr>
            <w:t>, vol. 3, no. 1, pp. 1–17, 2018, doi: 10.1016/j.jsamd.2018.01.002.</w:t>
          </w:r>
        </w:p>
        <w:p w14:paraId="38CDC0D9" w14:textId="77777777" w:rsidR="00872A4B" w:rsidRPr="00D120AC" w:rsidRDefault="00872A4B" w:rsidP="00B15BDB">
          <w:pPr>
            <w:widowControl w:val="0"/>
            <w:autoSpaceDE w:val="0"/>
            <w:autoSpaceDN w:val="0"/>
            <w:adjustRightInd w:val="0"/>
            <w:ind w:left="640" w:hanging="640"/>
            <w:rPr>
              <w:noProof/>
              <w:lang w:val="en-CA"/>
            </w:rPr>
          </w:pPr>
          <w:r w:rsidRPr="00D120AC">
            <w:rPr>
              <w:noProof/>
              <w:lang w:val="en-CA"/>
            </w:rPr>
            <w:t>[8]</w:t>
          </w:r>
          <w:r w:rsidRPr="00D120AC">
            <w:rPr>
              <w:noProof/>
              <w:lang w:val="en-CA"/>
            </w:rPr>
            <w:tab/>
            <w:t xml:space="preserve">V. Bocharova and A. P. Sokolov, “Perspectives for Polymer Electrolytes: A View from Fundamentals of Ionic Conductivity,” </w:t>
          </w:r>
          <w:r w:rsidRPr="00D120AC">
            <w:rPr>
              <w:i/>
              <w:iCs/>
              <w:noProof/>
              <w:lang w:val="en-CA"/>
            </w:rPr>
            <w:t>Macromolecules</w:t>
          </w:r>
          <w:r w:rsidRPr="00D120AC">
            <w:rPr>
              <w:noProof/>
              <w:lang w:val="en-CA"/>
            </w:rPr>
            <w:t>, vol. 53, no. 11, pp. 4141–4157, 2020, doi: 10.1021/acs.macromol.9b02742.</w:t>
          </w:r>
        </w:p>
        <w:p w14:paraId="486C14B5" w14:textId="772874F3" w:rsidR="00872A4B" w:rsidRPr="00D120AC" w:rsidRDefault="00872A4B" w:rsidP="00B15BDB">
          <w:pPr>
            <w:widowControl w:val="0"/>
            <w:autoSpaceDE w:val="0"/>
            <w:autoSpaceDN w:val="0"/>
            <w:adjustRightInd w:val="0"/>
            <w:ind w:left="640" w:hanging="640"/>
            <w:rPr>
              <w:noProof/>
              <w:lang w:val="en-CA"/>
            </w:rPr>
          </w:pPr>
          <w:r w:rsidRPr="00D120AC">
            <w:rPr>
              <w:noProof/>
              <w:lang w:val="en-CA"/>
            </w:rPr>
            <w:t>[9]</w:t>
          </w:r>
          <w:r w:rsidRPr="00D120AC">
            <w:rPr>
              <w:noProof/>
              <w:lang w:val="en-CA"/>
            </w:rPr>
            <w:tab/>
            <w:t xml:space="preserve">J. Sheng, S. Tong, Z. He, and R. Yang, “Recent </w:t>
          </w:r>
          <w:r w:rsidR="00571C22" w:rsidRPr="00D120AC">
            <w:rPr>
              <w:noProof/>
              <w:lang w:val="en-CA"/>
            </w:rPr>
            <w:t xml:space="preserve">Developments </w:t>
          </w:r>
          <w:r w:rsidR="00571C22">
            <w:rPr>
              <w:noProof/>
              <w:lang w:val="en-CA"/>
            </w:rPr>
            <w:t>o</w:t>
          </w:r>
          <w:r w:rsidR="00571C22" w:rsidRPr="00D120AC">
            <w:rPr>
              <w:noProof/>
              <w:lang w:val="en-CA"/>
            </w:rPr>
            <w:t xml:space="preserve">f Cellulose Materials </w:t>
          </w:r>
          <w:r w:rsidR="00571C22">
            <w:rPr>
              <w:noProof/>
              <w:lang w:val="en-CA"/>
            </w:rPr>
            <w:t>f</w:t>
          </w:r>
          <w:r w:rsidR="00571C22" w:rsidRPr="00D120AC">
            <w:rPr>
              <w:noProof/>
              <w:lang w:val="en-CA"/>
            </w:rPr>
            <w:t>or Lithium-Ion Battery Separators</w:t>
          </w:r>
          <w:r w:rsidRPr="00D120AC">
            <w:rPr>
              <w:noProof/>
              <w:lang w:val="en-CA"/>
            </w:rPr>
            <w:t xml:space="preserve">,” </w:t>
          </w:r>
          <w:r w:rsidRPr="00D120AC">
            <w:rPr>
              <w:i/>
              <w:iCs/>
              <w:noProof/>
              <w:lang w:val="en-CA"/>
            </w:rPr>
            <w:t>Cellulose</w:t>
          </w:r>
          <w:r w:rsidRPr="00D120AC">
            <w:rPr>
              <w:noProof/>
              <w:lang w:val="en-CA"/>
            </w:rPr>
            <w:t>, vol. 24, no. 10, pp. 4103–4122, 2017, doi: 10.1007/s10570-017-1421-8.</w:t>
          </w:r>
        </w:p>
        <w:p w14:paraId="75632F5B" w14:textId="1D1849D4" w:rsidR="00872A4B" w:rsidRPr="00D120AC" w:rsidRDefault="00872A4B" w:rsidP="00B15BDB">
          <w:pPr>
            <w:widowControl w:val="0"/>
            <w:autoSpaceDE w:val="0"/>
            <w:autoSpaceDN w:val="0"/>
            <w:adjustRightInd w:val="0"/>
            <w:ind w:left="640" w:hanging="640"/>
            <w:rPr>
              <w:noProof/>
              <w:lang w:val="en-CA"/>
            </w:rPr>
          </w:pPr>
          <w:r w:rsidRPr="00D120AC">
            <w:rPr>
              <w:noProof/>
              <w:lang w:val="en-CA"/>
            </w:rPr>
            <w:t>[10]</w:t>
          </w:r>
          <w:r w:rsidRPr="00D120AC">
            <w:rPr>
              <w:noProof/>
              <w:lang w:val="en-CA"/>
            </w:rPr>
            <w:tab/>
          </w:r>
          <w:r w:rsidR="007153C1" w:rsidRPr="00D120AC">
            <w:rPr>
              <w:color w:val="222222"/>
              <w:shd w:val="clear" w:color="auto" w:fill="FFFFFF"/>
              <w:lang w:val="en-CA"/>
            </w:rPr>
            <w:t>Klemm, D., Cranston, E.D., Fischer, D., Gama, M., Kedzior, S.A., Kralisch, D., Kramer, F., Kondo, T., Lindström, T., Nietzsche, S. and Petzold-Welcke, K.</w:t>
          </w:r>
          <w:r w:rsidRPr="00D120AC">
            <w:rPr>
              <w:noProof/>
              <w:lang w:val="en-CA"/>
            </w:rPr>
            <w:t xml:space="preserve">, “Nanocellulose </w:t>
          </w:r>
          <w:r w:rsidR="00DF6E75">
            <w:rPr>
              <w:noProof/>
              <w:lang w:val="en-CA"/>
            </w:rPr>
            <w:t>as</w:t>
          </w:r>
          <w:r w:rsidR="00DF6E75" w:rsidRPr="00D120AC">
            <w:rPr>
              <w:noProof/>
              <w:lang w:val="en-CA"/>
            </w:rPr>
            <w:t xml:space="preserve"> </w:t>
          </w:r>
          <w:r w:rsidR="00DF6E75">
            <w:rPr>
              <w:noProof/>
              <w:lang w:val="en-CA"/>
            </w:rPr>
            <w:t>a</w:t>
          </w:r>
          <w:r w:rsidR="00DF6E75" w:rsidRPr="00D120AC">
            <w:rPr>
              <w:noProof/>
              <w:lang w:val="en-CA"/>
            </w:rPr>
            <w:t xml:space="preserve"> Natural Source </w:t>
          </w:r>
          <w:r w:rsidR="00DF6E75">
            <w:rPr>
              <w:noProof/>
              <w:lang w:val="en-CA"/>
            </w:rPr>
            <w:t>f</w:t>
          </w:r>
          <w:r w:rsidR="00DF6E75" w:rsidRPr="00D120AC">
            <w:rPr>
              <w:noProof/>
              <w:lang w:val="en-CA"/>
            </w:rPr>
            <w:t xml:space="preserve">or Groundbreaking Applications </w:t>
          </w:r>
          <w:r w:rsidR="00DF6E75">
            <w:rPr>
              <w:noProof/>
              <w:lang w:val="en-CA"/>
            </w:rPr>
            <w:t>i</w:t>
          </w:r>
          <w:r w:rsidR="00DF6E75" w:rsidRPr="00D120AC">
            <w:rPr>
              <w:noProof/>
              <w:lang w:val="en-CA"/>
            </w:rPr>
            <w:t xml:space="preserve">n Materials Science: </w:t>
          </w:r>
          <w:r w:rsidRPr="00D120AC">
            <w:rPr>
              <w:noProof/>
              <w:lang w:val="en-CA"/>
            </w:rPr>
            <w:t xml:space="preserve">Today’s </w:t>
          </w:r>
          <w:r w:rsidR="00DF6E75" w:rsidRPr="00D120AC">
            <w:rPr>
              <w:noProof/>
              <w:lang w:val="en-CA"/>
            </w:rPr>
            <w:t>State</w:t>
          </w:r>
          <w:r w:rsidRPr="00D120AC">
            <w:rPr>
              <w:noProof/>
              <w:lang w:val="en-CA"/>
            </w:rPr>
            <w:t xml:space="preserve">,” </w:t>
          </w:r>
          <w:r w:rsidRPr="00D120AC">
            <w:rPr>
              <w:i/>
              <w:iCs/>
              <w:noProof/>
              <w:lang w:val="en-CA"/>
            </w:rPr>
            <w:t>Mater. Today</w:t>
          </w:r>
          <w:r w:rsidRPr="00D120AC">
            <w:rPr>
              <w:noProof/>
              <w:lang w:val="en-CA"/>
            </w:rPr>
            <w:t>, vol. 21, no. 7, pp. 720–748, 2018, doi: 10.1016/j.mattod.2018.02.001.</w:t>
          </w:r>
        </w:p>
        <w:p w14:paraId="791C9A76" w14:textId="77777777" w:rsidR="00872A4B" w:rsidRPr="00D120AC" w:rsidRDefault="00872A4B" w:rsidP="00B15BDB">
          <w:pPr>
            <w:widowControl w:val="0"/>
            <w:autoSpaceDE w:val="0"/>
            <w:autoSpaceDN w:val="0"/>
            <w:adjustRightInd w:val="0"/>
            <w:ind w:left="640" w:hanging="640"/>
            <w:rPr>
              <w:noProof/>
              <w:lang w:val="en-CA"/>
            </w:rPr>
          </w:pPr>
          <w:r w:rsidRPr="00D120AC">
            <w:rPr>
              <w:noProof/>
              <w:lang w:val="en-CA"/>
            </w:rPr>
            <w:t>[11]</w:t>
          </w:r>
          <w:r w:rsidRPr="00D120AC">
            <w:rPr>
              <w:noProof/>
              <w:lang w:val="en-CA"/>
            </w:rPr>
            <w:tab/>
            <w:t xml:space="preserve">V. Thangadurai, D. Pinzaru, S. Narayanan, and A. K. Baral, “Fast Solid-State Li Ion Conducting Garnet-Type Structure Metal Oxides for Energy Storage,” </w:t>
          </w:r>
          <w:r w:rsidRPr="00D120AC">
            <w:rPr>
              <w:i/>
              <w:iCs/>
              <w:noProof/>
              <w:lang w:val="en-CA"/>
            </w:rPr>
            <w:t>J. Phys. Chem. Lett.</w:t>
          </w:r>
          <w:r w:rsidRPr="00D120AC">
            <w:rPr>
              <w:noProof/>
              <w:lang w:val="en-CA"/>
            </w:rPr>
            <w:t>, vol. 6, no. 2, pp. 292–299, 2015, doi: 10.1021/jz501828v.</w:t>
          </w:r>
        </w:p>
        <w:p w14:paraId="595E89FE" w14:textId="28AE503B" w:rsidR="00872A4B" w:rsidRPr="00D120AC" w:rsidRDefault="00872A4B" w:rsidP="00B15BDB">
          <w:pPr>
            <w:widowControl w:val="0"/>
            <w:autoSpaceDE w:val="0"/>
            <w:autoSpaceDN w:val="0"/>
            <w:adjustRightInd w:val="0"/>
            <w:ind w:left="640" w:hanging="640"/>
            <w:rPr>
              <w:noProof/>
              <w:lang w:val="en-CA"/>
            </w:rPr>
          </w:pPr>
          <w:r w:rsidRPr="00D120AC">
            <w:rPr>
              <w:noProof/>
              <w:lang w:val="en-CA"/>
            </w:rPr>
            <w:t>[12]</w:t>
          </w:r>
          <w:r w:rsidRPr="00D120AC">
            <w:rPr>
              <w:noProof/>
              <w:lang w:val="en-CA"/>
            </w:rPr>
            <w:tab/>
            <w:t xml:space="preserve">S. Afyon, F. Krumeich, and J. L. M. Rupp, “A </w:t>
          </w:r>
          <w:r w:rsidR="00DF6E75" w:rsidRPr="00D120AC">
            <w:rPr>
              <w:noProof/>
              <w:lang w:val="en-CA"/>
            </w:rPr>
            <w:t xml:space="preserve">Shortcut </w:t>
          </w:r>
          <w:r w:rsidR="00DF6E75">
            <w:rPr>
              <w:noProof/>
              <w:lang w:val="en-CA"/>
            </w:rPr>
            <w:t>t</w:t>
          </w:r>
          <w:r w:rsidR="00DF6E75" w:rsidRPr="00D120AC">
            <w:rPr>
              <w:noProof/>
              <w:lang w:val="en-CA"/>
            </w:rPr>
            <w:t xml:space="preserve">o Garnet-Type Fast </w:t>
          </w:r>
          <w:r w:rsidRPr="00D120AC">
            <w:rPr>
              <w:noProof/>
              <w:lang w:val="en-CA"/>
            </w:rPr>
            <w:t>Li</w:t>
          </w:r>
          <w:r w:rsidR="00DF6E75" w:rsidRPr="00D120AC">
            <w:rPr>
              <w:noProof/>
              <w:lang w:val="en-CA"/>
            </w:rPr>
            <w:t xml:space="preserve">-Ion Conductors </w:t>
          </w:r>
          <w:r w:rsidR="00DF6E75">
            <w:rPr>
              <w:noProof/>
              <w:lang w:val="en-CA"/>
            </w:rPr>
            <w:t>f</w:t>
          </w:r>
          <w:r w:rsidR="00DF6E75" w:rsidRPr="00D120AC">
            <w:rPr>
              <w:noProof/>
              <w:lang w:val="en-CA"/>
            </w:rPr>
            <w:t>or All-Solid State Batteries</w:t>
          </w:r>
          <w:r w:rsidRPr="00D120AC">
            <w:rPr>
              <w:noProof/>
              <w:lang w:val="en-CA"/>
            </w:rPr>
            <w:t xml:space="preserve">,” </w:t>
          </w:r>
          <w:r w:rsidRPr="00D120AC">
            <w:rPr>
              <w:i/>
              <w:iCs/>
              <w:noProof/>
              <w:lang w:val="en-CA"/>
            </w:rPr>
            <w:t>J. Mater. Chem. A</w:t>
          </w:r>
          <w:r w:rsidRPr="00D120AC">
            <w:rPr>
              <w:noProof/>
              <w:lang w:val="en-CA"/>
            </w:rPr>
            <w:t>, vol. 3, no. 36, pp. 18636–18648, 2015, doi: 10.1039/c5ta03239c.</w:t>
          </w:r>
        </w:p>
        <w:p w14:paraId="1AE0A91F" w14:textId="77777777" w:rsidR="00872A4B" w:rsidRPr="00D120AC" w:rsidRDefault="00872A4B" w:rsidP="00B15BDB">
          <w:pPr>
            <w:widowControl w:val="0"/>
            <w:autoSpaceDE w:val="0"/>
            <w:autoSpaceDN w:val="0"/>
            <w:adjustRightInd w:val="0"/>
            <w:ind w:left="640" w:hanging="640"/>
            <w:rPr>
              <w:noProof/>
              <w:lang w:val="en-CA"/>
            </w:rPr>
          </w:pPr>
          <w:r w:rsidRPr="00D120AC">
            <w:rPr>
              <w:noProof/>
              <w:lang w:val="en-CA"/>
            </w:rPr>
            <w:t>[13]</w:t>
          </w:r>
          <w:r w:rsidRPr="00D120AC">
            <w:rPr>
              <w:noProof/>
              <w:lang w:val="en-CA"/>
            </w:rPr>
            <w:tab/>
            <w:t>M. Kotobuki, H. Munakata, K. Kanamura, Y. Sato, and T. Yoshida, “Compatibility of Li</w:t>
          </w:r>
          <w:r w:rsidRPr="00D120AC">
            <w:rPr>
              <w:noProof/>
              <w:vertAlign w:val="subscript"/>
              <w:lang w:val="en-CA"/>
            </w:rPr>
            <w:t>7</w:t>
          </w:r>
          <w:r w:rsidRPr="00D120AC">
            <w:rPr>
              <w:noProof/>
              <w:lang w:val="en-CA"/>
            </w:rPr>
            <w:t>La</w:t>
          </w:r>
          <w:r w:rsidRPr="00D120AC">
            <w:rPr>
              <w:noProof/>
              <w:vertAlign w:val="subscript"/>
              <w:lang w:val="en-CA"/>
            </w:rPr>
            <w:t>3</w:t>
          </w:r>
          <w:r w:rsidRPr="00D120AC">
            <w:rPr>
              <w:noProof/>
              <w:lang w:val="en-CA"/>
            </w:rPr>
            <w:t>Zr</w:t>
          </w:r>
          <w:r w:rsidRPr="00D120AC">
            <w:rPr>
              <w:noProof/>
              <w:vertAlign w:val="subscript"/>
              <w:lang w:val="en-CA"/>
            </w:rPr>
            <w:t>3</w:t>
          </w:r>
          <w:r w:rsidRPr="00D120AC">
            <w:rPr>
              <w:noProof/>
              <w:lang w:val="en-CA"/>
            </w:rPr>
            <w:t>O</w:t>
          </w:r>
          <w:r w:rsidRPr="00D120AC">
            <w:rPr>
              <w:noProof/>
              <w:vertAlign w:val="subscript"/>
              <w:lang w:val="en-CA"/>
            </w:rPr>
            <w:t>12</w:t>
          </w:r>
          <w:r w:rsidRPr="00D120AC">
            <w:rPr>
              <w:noProof/>
              <w:lang w:val="en-CA"/>
            </w:rPr>
            <w:t xml:space="preserve"> Solid Electrolyte to All-Solid-State Battery Using Li Metal Anode,” </w:t>
          </w:r>
          <w:r w:rsidRPr="00D120AC">
            <w:rPr>
              <w:i/>
              <w:iCs/>
              <w:noProof/>
              <w:lang w:val="en-CA"/>
            </w:rPr>
            <w:t>J. Electrochem. Soc.</w:t>
          </w:r>
          <w:r w:rsidRPr="00D120AC">
            <w:rPr>
              <w:noProof/>
              <w:lang w:val="en-CA"/>
            </w:rPr>
            <w:t>, vol. 157, no. 10, p. A1076, 2010, doi: 10.1149/1.3474232.</w:t>
          </w:r>
        </w:p>
        <w:p w14:paraId="37C4C78E" w14:textId="77777777" w:rsidR="00872A4B" w:rsidRPr="00D120AC" w:rsidRDefault="00872A4B" w:rsidP="00B15BDB">
          <w:pPr>
            <w:widowControl w:val="0"/>
            <w:autoSpaceDE w:val="0"/>
            <w:autoSpaceDN w:val="0"/>
            <w:adjustRightInd w:val="0"/>
            <w:ind w:left="640" w:hanging="640"/>
            <w:rPr>
              <w:noProof/>
              <w:lang w:val="en-CA"/>
            </w:rPr>
          </w:pPr>
          <w:r w:rsidRPr="00D120AC">
            <w:rPr>
              <w:noProof/>
              <w:lang w:val="en-CA"/>
            </w:rPr>
            <w:t>[14]</w:t>
          </w:r>
          <w:r w:rsidRPr="00D120AC">
            <w:rPr>
              <w:noProof/>
              <w:lang w:val="en-CA"/>
            </w:rPr>
            <w:tab/>
            <w:t xml:space="preserve">S. A. Pervez, P. Ganjeh-Anzabi, U. Farooq, M. Trifkovic, E. P. L. Roberts, and V. Thangadurai, “Fabrication of a Dendrite-Free all Solid-State Li Metal Battery via Polymer Composite/Garnet/Polymer Composite Layered Electrolyte,” </w:t>
          </w:r>
          <w:r w:rsidRPr="00D120AC">
            <w:rPr>
              <w:i/>
              <w:iCs/>
              <w:noProof/>
              <w:lang w:val="en-CA"/>
            </w:rPr>
            <w:t>Adv. Mater. Interfaces</w:t>
          </w:r>
          <w:r w:rsidRPr="00D120AC">
            <w:rPr>
              <w:noProof/>
              <w:lang w:val="en-CA"/>
            </w:rPr>
            <w:t>, vol. 6, no. 11, pp. 1–10, 2019, doi: 10.1002/admi.201900186.</w:t>
          </w:r>
        </w:p>
        <w:p w14:paraId="13285C65" w14:textId="31139C92" w:rsidR="00872A4B" w:rsidRPr="00D120AC" w:rsidRDefault="00872A4B" w:rsidP="00B15BDB">
          <w:pPr>
            <w:widowControl w:val="0"/>
            <w:autoSpaceDE w:val="0"/>
            <w:autoSpaceDN w:val="0"/>
            <w:adjustRightInd w:val="0"/>
            <w:ind w:left="640" w:hanging="640"/>
            <w:rPr>
              <w:noProof/>
              <w:lang w:val="en-CA"/>
            </w:rPr>
          </w:pPr>
          <w:r w:rsidRPr="00D120AC">
            <w:rPr>
              <w:noProof/>
              <w:lang w:val="en-CA"/>
            </w:rPr>
            <w:t>[15]</w:t>
          </w:r>
          <w:r w:rsidRPr="00D120AC">
            <w:rPr>
              <w:noProof/>
              <w:lang w:val="en-CA"/>
            </w:rPr>
            <w:tab/>
            <w:t xml:space="preserve">P. V. Wright, “Electrical </w:t>
          </w:r>
          <w:r w:rsidR="00DF6E75" w:rsidRPr="00D120AC">
            <w:rPr>
              <w:noProof/>
              <w:lang w:val="en-CA"/>
            </w:rPr>
            <w:t xml:space="preserve">Conductivity </w:t>
          </w:r>
          <w:r w:rsidR="00DF6E75">
            <w:rPr>
              <w:noProof/>
              <w:lang w:val="en-CA"/>
            </w:rPr>
            <w:t>i</w:t>
          </w:r>
          <w:r w:rsidR="00DF6E75" w:rsidRPr="00D120AC">
            <w:rPr>
              <w:noProof/>
              <w:lang w:val="en-CA"/>
            </w:rPr>
            <w:t xml:space="preserve">n Ionic Complexes </w:t>
          </w:r>
          <w:r w:rsidR="00DF6E75">
            <w:rPr>
              <w:noProof/>
              <w:lang w:val="en-CA"/>
            </w:rPr>
            <w:t>o</w:t>
          </w:r>
          <w:r w:rsidR="00DF6E75" w:rsidRPr="00D120AC">
            <w:rPr>
              <w:noProof/>
              <w:lang w:val="en-CA"/>
            </w:rPr>
            <w:t>f Poly(Ethylene Oxide)</w:t>
          </w:r>
          <w:r w:rsidRPr="00D120AC">
            <w:rPr>
              <w:noProof/>
              <w:lang w:val="en-CA"/>
            </w:rPr>
            <w:t xml:space="preserve">,” </w:t>
          </w:r>
          <w:r w:rsidRPr="00D120AC">
            <w:rPr>
              <w:i/>
              <w:iCs/>
              <w:noProof/>
              <w:lang w:val="en-CA"/>
            </w:rPr>
            <w:t>Br. Polym. J.</w:t>
          </w:r>
          <w:r w:rsidRPr="00D120AC">
            <w:rPr>
              <w:noProof/>
              <w:lang w:val="en-CA"/>
            </w:rPr>
            <w:t>, vol. 7, no. 5, pp. 319–327, 1975, doi: 10.1002/pi.4980070505.</w:t>
          </w:r>
        </w:p>
        <w:p w14:paraId="0E6D3EF3" w14:textId="32F4C1AF" w:rsidR="00872A4B" w:rsidRPr="00D120AC" w:rsidRDefault="00872A4B" w:rsidP="00B15BDB">
          <w:pPr>
            <w:widowControl w:val="0"/>
            <w:autoSpaceDE w:val="0"/>
            <w:autoSpaceDN w:val="0"/>
            <w:adjustRightInd w:val="0"/>
            <w:ind w:left="640" w:hanging="640"/>
            <w:rPr>
              <w:noProof/>
              <w:lang w:val="en-CA"/>
            </w:rPr>
          </w:pPr>
          <w:r w:rsidRPr="00D120AC">
            <w:rPr>
              <w:noProof/>
              <w:lang w:val="en-CA"/>
            </w:rPr>
            <w:t>[16]</w:t>
          </w:r>
          <w:r w:rsidRPr="00D120AC">
            <w:rPr>
              <w:noProof/>
              <w:lang w:val="en-CA"/>
            </w:rPr>
            <w:tab/>
            <w:t xml:space="preserve">Y. Ito, K. Kanehori, K. Miyauchi, and T. Kudo, “Ionic </w:t>
          </w:r>
          <w:r w:rsidR="00CA4540" w:rsidRPr="00D120AC">
            <w:rPr>
              <w:noProof/>
              <w:lang w:val="en-CA"/>
            </w:rPr>
            <w:t xml:space="preserve">Conductivity </w:t>
          </w:r>
          <w:r w:rsidR="00CA4540">
            <w:rPr>
              <w:noProof/>
              <w:lang w:val="en-CA"/>
            </w:rPr>
            <w:t>o</w:t>
          </w:r>
          <w:r w:rsidR="00CA4540" w:rsidRPr="00D120AC">
            <w:rPr>
              <w:noProof/>
              <w:lang w:val="en-CA"/>
            </w:rPr>
            <w:t xml:space="preserve">f Electrolytes </w:t>
          </w:r>
          <w:r w:rsidR="00CA4540" w:rsidRPr="00D120AC">
            <w:rPr>
              <w:noProof/>
              <w:lang w:val="en-CA"/>
            </w:rPr>
            <w:lastRenderedPageBreak/>
            <w:t xml:space="preserve">Formed </w:t>
          </w:r>
          <w:r w:rsidR="00CA4540">
            <w:rPr>
              <w:noProof/>
              <w:lang w:val="en-CA"/>
            </w:rPr>
            <w:t>f</w:t>
          </w:r>
          <w:r w:rsidR="00CA4540" w:rsidRPr="00D120AC">
            <w:rPr>
              <w:noProof/>
              <w:lang w:val="en-CA"/>
            </w:rPr>
            <w:t xml:space="preserve">rom </w:t>
          </w:r>
          <w:r w:rsidRPr="00D120AC">
            <w:rPr>
              <w:noProof/>
              <w:lang w:val="en-CA"/>
            </w:rPr>
            <w:t>PEO</w:t>
          </w:r>
          <w:r w:rsidR="00CA4540" w:rsidRPr="00D120AC">
            <w:rPr>
              <w:noProof/>
              <w:lang w:val="en-CA"/>
            </w:rPr>
            <w:t>-Li</w:t>
          </w:r>
          <w:r w:rsidR="00CA4540">
            <w:rPr>
              <w:noProof/>
              <w:lang w:val="en-CA"/>
            </w:rPr>
            <w:t>CF</w:t>
          </w:r>
          <w:r w:rsidR="00CA4540" w:rsidRPr="00D120AC">
            <w:rPr>
              <w:noProof/>
              <w:vertAlign w:val="subscript"/>
              <w:lang w:val="en-CA"/>
            </w:rPr>
            <w:t>3</w:t>
          </w:r>
          <w:r w:rsidR="00CA4540">
            <w:rPr>
              <w:noProof/>
              <w:lang w:val="en-CA"/>
            </w:rPr>
            <w:t>SO</w:t>
          </w:r>
          <w:r w:rsidR="00CA4540" w:rsidRPr="00D120AC">
            <w:rPr>
              <w:noProof/>
              <w:vertAlign w:val="subscript"/>
              <w:lang w:val="en-CA"/>
            </w:rPr>
            <w:t>3</w:t>
          </w:r>
          <w:r w:rsidR="00CA4540" w:rsidRPr="00D120AC">
            <w:rPr>
              <w:noProof/>
              <w:lang w:val="en-CA"/>
            </w:rPr>
            <w:t xml:space="preserve"> Complex Low Molecular Weight Poly(Ethylene Glycol)</w:t>
          </w:r>
          <w:r w:rsidRPr="00D120AC">
            <w:rPr>
              <w:noProof/>
              <w:lang w:val="en-CA"/>
            </w:rPr>
            <w:t xml:space="preserve">,” </w:t>
          </w:r>
          <w:r w:rsidRPr="00D120AC">
            <w:rPr>
              <w:i/>
              <w:iCs/>
              <w:noProof/>
              <w:lang w:val="en-CA"/>
            </w:rPr>
            <w:t>J. Mater. Sci.</w:t>
          </w:r>
          <w:r w:rsidRPr="00D120AC">
            <w:rPr>
              <w:noProof/>
              <w:lang w:val="en-CA"/>
            </w:rPr>
            <w:t>, vol. 22, no. 5, pp. 1845–1849, 1987, doi: 10.1007/BF01132415.</w:t>
          </w:r>
        </w:p>
        <w:p w14:paraId="1014A2DB" w14:textId="2913E85E" w:rsidR="00872A4B" w:rsidRPr="00D120AC" w:rsidRDefault="00872A4B" w:rsidP="00B15BDB">
          <w:pPr>
            <w:widowControl w:val="0"/>
            <w:autoSpaceDE w:val="0"/>
            <w:autoSpaceDN w:val="0"/>
            <w:adjustRightInd w:val="0"/>
            <w:ind w:left="640" w:hanging="640"/>
            <w:rPr>
              <w:noProof/>
              <w:lang w:val="en-CA"/>
            </w:rPr>
          </w:pPr>
          <w:r w:rsidRPr="00D120AC">
            <w:rPr>
              <w:noProof/>
              <w:lang w:val="en-CA"/>
            </w:rPr>
            <w:t>[17]</w:t>
          </w:r>
          <w:r w:rsidRPr="00D120AC">
            <w:rPr>
              <w:noProof/>
              <w:lang w:val="en-CA"/>
            </w:rPr>
            <w:tab/>
            <w:t>Z. Xue, D. He, and X. Xie, “Poly</w:t>
          </w:r>
          <w:r w:rsidR="00CA4540" w:rsidRPr="00D120AC">
            <w:rPr>
              <w:noProof/>
              <w:lang w:val="en-CA"/>
            </w:rPr>
            <w:t xml:space="preserve">(Ethylene Oxide)-Based Electrolytes </w:t>
          </w:r>
          <w:r w:rsidR="00CA4540">
            <w:rPr>
              <w:noProof/>
              <w:lang w:val="en-CA"/>
            </w:rPr>
            <w:t>f</w:t>
          </w:r>
          <w:r w:rsidR="00CA4540" w:rsidRPr="00D120AC">
            <w:rPr>
              <w:noProof/>
              <w:lang w:val="en-CA"/>
            </w:rPr>
            <w:t>or Lithium-Ion Batteries</w:t>
          </w:r>
          <w:r w:rsidRPr="00D120AC">
            <w:rPr>
              <w:noProof/>
              <w:lang w:val="en-CA"/>
            </w:rPr>
            <w:t xml:space="preserve">,” </w:t>
          </w:r>
          <w:r w:rsidRPr="00D120AC">
            <w:rPr>
              <w:i/>
              <w:iCs/>
              <w:noProof/>
              <w:lang w:val="en-CA"/>
            </w:rPr>
            <w:t>J. Mater. Chem. A</w:t>
          </w:r>
          <w:r w:rsidRPr="00D120AC">
            <w:rPr>
              <w:noProof/>
              <w:lang w:val="en-CA"/>
            </w:rPr>
            <w:t>, vol. 3, no. 38, pp. 19218–19253, 2015, doi: 10.1039/c5ta03471j.</w:t>
          </w:r>
        </w:p>
        <w:p w14:paraId="02B87657" w14:textId="3FC4C8D3" w:rsidR="00872A4B" w:rsidRPr="00D120AC" w:rsidRDefault="00872A4B" w:rsidP="00B15BDB">
          <w:pPr>
            <w:widowControl w:val="0"/>
            <w:autoSpaceDE w:val="0"/>
            <w:autoSpaceDN w:val="0"/>
            <w:adjustRightInd w:val="0"/>
            <w:ind w:left="640" w:hanging="640"/>
            <w:rPr>
              <w:noProof/>
              <w:lang w:val="en-CA"/>
            </w:rPr>
          </w:pPr>
          <w:r w:rsidRPr="00D120AC">
            <w:rPr>
              <w:noProof/>
              <w:lang w:val="en-CA"/>
            </w:rPr>
            <w:t>[18]</w:t>
          </w:r>
          <w:r w:rsidRPr="00D120AC">
            <w:rPr>
              <w:noProof/>
              <w:lang w:val="en-CA"/>
            </w:rPr>
            <w:tab/>
            <w:t>M. Watanabe, S. Nagano, K. Sanui, and N. Ogata, “I</w:t>
          </w:r>
          <w:r w:rsidR="00CA4540" w:rsidRPr="00D120AC">
            <w:rPr>
              <w:noProof/>
              <w:lang w:val="en-CA"/>
            </w:rPr>
            <w:t xml:space="preserve">onic Conductivity </w:t>
          </w:r>
          <w:r w:rsidR="00CA4540">
            <w:rPr>
              <w:noProof/>
              <w:lang w:val="en-CA"/>
            </w:rPr>
            <w:t>o</w:t>
          </w:r>
          <w:r w:rsidR="00CA4540" w:rsidRPr="00D120AC">
            <w:rPr>
              <w:noProof/>
              <w:lang w:val="en-CA"/>
            </w:rPr>
            <w:t>f Network Polymers From Poly(Ethylene Oxide) Containing Lithium Perchlorate</w:t>
          </w:r>
          <w:r w:rsidRPr="00D120AC">
            <w:rPr>
              <w:noProof/>
              <w:lang w:val="en-CA"/>
            </w:rPr>
            <w:t xml:space="preserve">,” </w:t>
          </w:r>
          <w:r w:rsidRPr="00D120AC">
            <w:rPr>
              <w:i/>
              <w:iCs/>
              <w:noProof/>
              <w:lang w:val="en-CA"/>
            </w:rPr>
            <w:t>Polym. J.</w:t>
          </w:r>
          <w:r w:rsidRPr="00D120AC">
            <w:rPr>
              <w:noProof/>
              <w:lang w:val="en-CA"/>
            </w:rPr>
            <w:t>, vol. 18, no. 11, pp. 809–817, 1986, doi: 10.1295/polymj.18.809.</w:t>
          </w:r>
        </w:p>
        <w:p w14:paraId="79A0A5B8" w14:textId="0E4FC6FE" w:rsidR="00872A4B" w:rsidRPr="00D120AC" w:rsidRDefault="00872A4B" w:rsidP="00B15BDB">
          <w:pPr>
            <w:widowControl w:val="0"/>
            <w:autoSpaceDE w:val="0"/>
            <w:autoSpaceDN w:val="0"/>
            <w:adjustRightInd w:val="0"/>
            <w:ind w:left="640" w:hanging="640"/>
            <w:rPr>
              <w:noProof/>
              <w:lang w:val="en-CA"/>
            </w:rPr>
          </w:pPr>
          <w:r w:rsidRPr="00D120AC">
            <w:rPr>
              <w:noProof/>
              <w:lang w:val="en-CA"/>
            </w:rPr>
            <w:t>[19]</w:t>
          </w:r>
          <w:r w:rsidRPr="00D120AC">
            <w:rPr>
              <w:noProof/>
              <w:lang w:val="en-CA"/>
            </w:rPr>
            <w:tab/>
            <w:t xml:space="preserve">D. Bresser, S. Lyonnard, C. Iojoiu, L. Picard, and S. Passerini, “Decoupling </w:t>
          </w:r>
          <w:r w:rsidR="00CA4540" w:rsidRPr="00D120AC">
            <w:rPr>
              <w:noProof/>
              <w:lang w:val="en-CA"/>
            </w:rPr>
            <w:t xml:space="preserve">Segmental Relaxation </w:t>
          </w:r>
          <w:r w:rsidR="00CA4540">
            <w:rPr>
              <w:noProof/>
              <w:lang w:val="en-CA"/>
            </w:rPr>
            <w:t>a</w:t>
          </w:r>
          <w:r w:rsidR="00CA4540" w:rsidRPr="00D120AC">
            <w:rPr>
              <w:noProof/>
              <w:lang w:val="en-CA"/>
            </w:rPr>
            <w:t xml:space="preserve">nd Ionic Conductivity </w:t>
          </w:r>
          <w:r w:rsidR="00CA4540">
            <w:rPr>
              <w:noProof/>
              <w:lang w:val="en-CA"/>
            </w:rPr>
            <w:t>f</w:t>
          </w:r>
          <w:r w:rsidR="00CA4540" w:rsidRPr="00D120AC">
            <w:rPr>
              <w:noProof/>
              <w:lang w:val="en-CA"/>
            </w:rPr>
            <w:t>or Lithium-Ion Polymer Electrolytes</w:t>
          </w:r>
          <w:r w:rsidRPr="00D120AC">
            <w:rPr>
              <w:noProof/>
              <w:lang w:val="en-CA"/>
            </w:rPr>
            <w:t xml:space="preserve">,” </w:t>
          </w:r>
          <w:r w:rsidRPr="00D120AC">
            <w:rPr>
              <w:i/>
              <w:iCs/>
              <w:noProof/>
              <w:lang w:val="en-CA"/>
            </w:rPr>
            <w:t>Mol. Syst. Des. Eng.</w:t>
          </w:r>
          <w:r w:rsidRPr="00D120AC">
            <w:rPr>
              <w:noProof/>
              <w:lang w:val="en-CA"/>
            </w:rPr>
            <w:t>, vol. 4, no. 4, pp. 779–792, 2019, doi: 10.1039/c9me00038k.</w:t>
          </w:r>
        </w:p>
        <w:p w14:paraId="230273F1" w14:textId="397BF3F9" w:rsidR="00872A4B" w:rsidRPr="00D120AC" w:rsidRDefault="00872A4B" w:rsidP="00B15BDB">
          <w:pPr>
            <w:widowControl w:val="0"/>
            <w:autoSpaceDE w:val="0"/>
            <w:autoSpaceDN w:val="0"/>
            <w:adjustRightInd w:val="0"/>
            <w:ind w:left="640" w:hanging="640"/>
            <w:rPr>
              <w:noProof/>
              <w:lang w:val="en-CA"/>
            </w:rPr>
          </w:pPr>
          <w:r w:rsidRPr="00D120AC">
            <w:rPr>
              <w:noProof/>
              <w:lang w:val="en-CA"/>
            </w:rPr>
            <w:t>[20]</w:t>
          </w:r>
          <w:r w:rsidRPr="00D120AC">
            <w:rPr>
              <w:noProof/>
              <w:lang w:val="en-CA"/>
            </w:rPr>
            <w:tab/>
            <w:t xml:space="preserve">J. L. Olmedo-Martínez, L. Meabe, A. Basterretxea, D. Mecerreyes, and A. J. Müller, “Effect </w:t>
          </w:r>
          <w:r w:rsidR="00CA4540">
            <w:rPr>
              <w:noProof/>
              <w:lang w:val="en-CA"/>
            </w:rPr>
            <w:t>o</w:t>
          </w:r>
          <w:r w:rsidR="00CA4540" w:rsidRPr="00D120AC">
            <w:rPr>
              <w:noProof/>
              <w:lang w:val="en-CA"/>
            </w:rPr>
            <w:t xml:space="preserve">f Chemical Structure </w:t>
          </w:r>
          <w:r w:rsidR="00CA4540">
            <w:rPr>
              <w:noProof/>
              <w:lang w:val="en-CA"/>
            </w:rPr>
            <w:t>a</w:t>
          </w:r>
          <w:r w:rsidR="00CA4540" w:rsidRPr="00D120AC">
            <w:rPr>
              <w:noProof/>
              <w:lang w:val="en-CA"/>
            </w:rPr>
            <w:t xml:space="preserve">nd Salt Concentration </w:t>
          </w:r>
          <w:r w:rsidR="00CA4540">
            <w:rPr>
              <w:noProof/>
              <w:lang w:val="en-CA"/>
            </w:rPr>
            <w:t>o</w:t>
          </w:r>
          <w:r w:rsidR="00CA4540" w:rsidRPr="00D120AC">
            <w:rPr>
              <w:noProof/>
              <w:lang w:val="en-CA"/>
            </w:rPr>
            <w:t xml:space="preserve">n </w:t>
          </w:r>
          <w:r w:rsidR="00CA4540">
            <w:rPr>
              <w:noProof/>
              <w:lang w:val="en-CA"/>
            </w:rPr>
            <w:t>t</w:t>
          </w:r>
          <w:r w:rsidR="00CA4540" w:rsidRPr="00D120AC">
            <w:rPr>
              <w:noProof/>
              <w:lang w:val="en-CA"/>
            </w:rPr>
            <w:t xml:space="preserve">he Crystallization </w:t>
          </w:r>
          <w:r w:rsidR="00CA4540">
            <w:rPr>
              <w:noProof/>
              <w:lang w:val="en-CA"/>
            </w:rPr>
            <w:t>a</w:t>
          </w:r>
          <w:r w:rsidR="00CA4540" w:rsidRPr="00D120AC">
            <w:rPr>
              <w:noProof/>
              <w:lang w:val="en-CA"/>
            </w:rPr>
            <w:t xml:space="preserve">nd Ionic Conductivity </w:t>
          </w:r>
          <w:r w:rsidR="00CA4540">
            <w:rPr>
              <w:noProof/>
              <w:lang w:val="en-CA"/>
            </w:rPr>
            <w:t>o</w:t>
          </w:r>
          <w:r w:rsidR="00CA4540" w:rsidRPr="00D120AC">
            <w:rPr>
              <w:noProof/>
              <w:lang w:val="en-CA"/>
            </w:rPr>
            <w:t>f Aliphatic Polyethers</w:t>
          </w:r>
          <w:r w:rsidRPr="00D120AC">
            <w:rPr>
              <w:noProof/>
              <w:lang w:val="en-CA"/>
            </w:rPr>
            <w:t xml:space="preserve">,” </w:t>
          </w:r>
          <w:r w:rsidRPr="00D120AC">
            <w:rPr>
              <w:i/>
              <w:iCs/>
              <w:noProof/>
              <w:lang w:val="en-CA"/>
            </w:rPr>
            <w:t>Polymers (Basel).</w:t>
          </w:r>
          <w:r w:rsidRPr="00D120AC">
            <w:rPr>
              <w:noProof/>
              <w:lang w:val="en-CA"/>
            </w:rPr>
            <w:t>, vol. 11, no. 3, 2019, doi: 10.3390/polym11030452.</w:t>
          </w:r>
        </w:p>
        <w:p w14:paraId="3026A4EA" w14:textId="65DCEC04" w:rsidR="00872A4B" w:rsidRPr="00D120AC" w:rsidRDefault="00872A4B" w:rsidP="00B15BDB">
          <w:pPr>
            <w:widowControl w:val="0"/>
            <w:autoSpaceDE w:val="0"/>
            <w:autoSpaceDN w:val="0"/>
            <w:adjustRightInd w:val="0"/>
            <w:ind w:left="640" w:hanging="640"/>
            <w:rPr>
              <w:noProof/>
              <w:lang w:val="en-CA"/>
            </w:rPr>
          </w:pPr>
          <w:r w:rsidRPr="00D120AC">
            <w:rPr>
              <w:noProof/>
              <w:lang w:val="en-CA"/>
            </w:rPr>
            <w:t>[21]</w:t>
          </w:r>
          <w:r w:rsidRPr="00D120AC">
            <w:rPr>
              <w:noProof/>
              <w:lang w:val="en-CA"/>
            </w:rPr>
            <w:tab/>
          </w:r>
          <w:r w:rsidR="007153C1" w:rsidRPr="00D120AC">
            <w:rPr>
              <w:color w:val="222222"/>
              <w:shd w:val="clear" w:color="auto" w:fill="FFFFFF"/>
              <w:lang w:val="en-CA"/>
            </w:rPr>
            <w:t>Fu, X., Li, Y., Liao, C., Gong, W., Yang, M., Li, R.K.Y., Tjong, S.C. and Lu, Z.</w:t>
          </w:r>
          <w:r w:rsidRPr="00D120AC">
            <w:rPr>
              <w:noProof/>
              <w:lang w:val="en-CA"/>
            </w:rPr>
            <w:t xml:space="preserve">, “Enhanced </w:t>
          </w:r>
          <w:r w:rsidR="00CA4540">
            <w:rPr>
              <w:noProof/>
              <w:lang w:val="en-CA"/>
            </w:rPr>
            <w:t>E</w:t>
          </w:r>
          <w:r w:rsidRPr="00D120AC">
            <w:rPr>
              <w:noProof/>
              <w:lang w:val="en-CA"/>
            </w:rPr>
            <w:t xml:space="preserve">lectrochemical </w:t>
          </w:r>
          <w:r w:rsidR="00CA4540">
            <w:rPr>
              <w:noProof/>
              <w:lang w:val="en-CA"/>
            </w:rPr>
            <w:t>P</w:t>
          </w:r>
          <w:r w:rsidRPr="00D120AC">
            <w:rPr>
              <w:noProof/>
              <w:lang w:val="en-CA"/>
            </w:rPr>
            <w:t xml:space="preserve">erformance of </w:t>
          </w:r>
          <w:r w:rsidR="00CA4540">
            <w:rPr>
              <w:noProof/>
              <w:lang w:val="en-CA"/>
            </w:rPr>
            <w:t>S</w:t>
          </w:r>
          <w:r w:rsidRPr="00D120AC">
            <w:rPr>
              <w:noProof/>
              <w:lang w:val="en-CA"/>
            </w:rPr>
            <w:t>olid PEO/LiClO</w:t>
          </w:r>
          <w:r w:rsidRPr="00D120AC">
            <w:rPr>
              <w:noProof/>
              <w:vertAlign w:val="subscript"/>
              <w:lang w:val="en-CA"/>
            </w:rPr>
            <w:t>4</w:t>
          </w:r>
          <w:r w:rsidRPr="00D120AC">
            <w:rPr>
              <w:noProof/>
              <w:lang w:val="en-CA"/>
            </w:rPr>
            <w:t xml:space="preserve"> electrolytes with a 3D porous Li</w:t>
          </w:r>
          <w:r w:rsidRPr="00D120AC">
            <w:rPr>
              <w:noProof/>
              <w:vertAlign w:val="subscript"/>
              <w:lang w:val="en-CA"/>
            </w:rPr>
            <w:t>6.28</w:t>
          </w:r>
          <w:r w:rsidRPr="00D120AC">
            <w:rPr>
              <w:noProof/>
              <w:lang w:val="en-CA"/>
            </w:rPr>
            <w:t>La</w:t>
          </w:r>
          <w:r w:rsidRPr="00D120AC">
            <w:rPr>
              <w:noProof/>
              <w:vertAlign w:val="subscript"/>
              <w:lang w:val="en-CA"/>
            </w:rPr>
            <w:t>3</w:t>
          </w:r>
          <w:r w:rsidRPr="00D120AC">
            <w:rPr>
              <w:noProof/>
              <w:lang w:val="en-CA"/>
            </w:rPr>
            <w:t>Zr</w:t>
          </w:r>
          <w:r w:rsidRPr="00D120AC">
            <w:rPr>
              <w:noProof/>
              <w:vertAlign w:val="subscript"/>
              <w:lang w:val="en-CA"/>
            </w:rPr>
            <w:t>2</w:t>
          </w:r>
          <w:r w:rsidRPr="00D120AC">
            <w:rPr>
              <w:noProof/>
              <w:lang w:val="en-CA"/>
            </w:rPr>
            <w:t>Al</w:t>
          </w:r>
          <w:r w:rsidRPr="00D120AC">
            <w:rPr>
              <w:noProof/>
              <w:vertAlign w:val="subscript"/>
              <w:lang w:val="en-CA"/>
            </w:rPr>
            <w:t>0.24</w:t>
          </w:r>
          <w:r w:rsidRPr="00D120AC">
            <w:rPr>
              <w:noProof/>
              <w:lang w:val="en-CA"/>
            </w:rPr>
            <w:t>O</w:t>
          </w:r>
          <w:r w:rsidRPr="00D120AC">
            <w:rPr>
              <w:noProof/>
              <w:vertAlign w:val="subscript"/>
              <w:lang w:val="en-CA"/>
            </w:rPr>
            <w:t>12</w:t>
          </w:r>
          <w:r w:rsidRPr="00D120AC">
            <w:rPr>
              <w:noProof/>
              <w:lang w:val="en-CA"/>
            </w:rPr>
            <w:t xml:space="preserve"> </w:t>
          </w:r>
          <w:r w:rsidR="00CA4540">
            <w:rPr>
              <w:noProof/>
              <w:lang w:val="en-CA"/>
            </w:rPr>
            <w:t>N</w:t>
          </w:r>
          <w:r w:rsidRPr="00D120AC">
            <w:rPr>
              <w:noProof/>
              <w:lang w:val="en-CA"/>
            </w:rPr>
            <w:t xml:space="preserve">etwork,” </w:t>
          </w:r>
          <w:r w:rsidRPr="00D120AC">
            <w:rPr>
              <w:i/>
              <w:iCs/>
              <w:noProof/>
              <w:lang w:val="en-CA"/>
            </w:rPr>
            <w:t>Compos. Sci. Technol.</w:t>
          </w:r>
          <w:r w:rsidRPr="00D120AC">
            <w:rPr>
              <w:noProof/>
              <w:lang w:val="en-CA"/>
            </w:rPr>
            <w:t>, vol. 184, no. September, p. 107863, 2019, doi: 10.1016/j.compscitech.2019.107863.</w:t>
          </w:r>
        </w:p>
        <w:p w14:paraId="55917FF8" w14:textId="2FCB7A41" w:rsidR="00872A4B" w:rsidRPr="00D120AC" w:rsidRDefault="00872A4B" w:rsidP="00B15BDB">
          <w:pPr>
            <w:widowControl w:val="0"/>
            <w:autoSpaceDE w:val="0"/>
            <w:autoSpaceDN w:val="0"/>
            <w:adjustRightInd w:val="0"/>
            <w:ind w:left="640" w:hanging="640"/>
            <w:rPr>
              <w:noProof/>
              <w:lang w:val="en-CA"/>
            </w:rPr>
          </w:pPr>
          <w:r w:rsidRPr="00D120AC">
            <w:rPr>
              <w:noProof/>
              <w:lang w:val="en-CA"/>
            </w:rPr>
            <w:t>[22]</w:t>
          </w:r>
          <w:r w:rsidRPr="00D120AC">
            <w:rPr>
              <w:noProof/>
              <w:lang w:val="en-CA"/>
            </w:rPr>
            <w:tab/>
            <w:t xml:space="preserve">N. Angulakshmi, R. B. Dhanalakshmi, M. Kathiresan, Y. Zhou, and A. M. Stephan, “The </w:t>
          </w:r>
          <w:r w:rsidR="00CA4540" w:rsidRPr="00D120AC">
            <w:rPr>
              <w:noProof/>
              <w:lang w:val="en-CA"/>
            </w:rPr>
            <w:t xml:space="preserve">Suppression </w:t>
          </w:r>
          <w:r w:rsidR="00CA4540">
            <w:rPr>
              <w:noProof/>
              <w:lang w:val="en-CA"/>
            </w:rPr>
            <w:t>o</w:t>
          </w:r>
          <w:r w:rsidR="00CA4540" w:rsidRPr="00D120AC">
            <w:rPr>
              <w:noProof/>
              <w:lang w:val="en-CA"/>
            </w:rPr>
            <w:t xml:space="preserve">f Lithium Dendrites </w:t>
          </w:r>
          <w:r w:rsidR="00CA4540">
            <w:rPr>
              <w:noProof/>
              <w:lang w:val="en-CA"/>
            </w:rPr>
            <w:t>b</w:t>
          </w:r>
          <w:r w:rsidR="00CA4540" w:rsidRPr="00D120AC">
            <w:rPr>
              <w:noProof/>
              <w:lang w:val="en-CA"/>
            </w:rPr>
            <w:t xml:space="preserve">y </w:t>
          </w:r>
          <w:r w:rsidR="00CA4540">
            <w:rPr>
              <w:noProof/>
              <w:lang w:val="en-CA"/>
            </w:rPr>
            <w:t>a</w:t>
          </w:r>
          <w:r w:rsidR="00CA4540" w:rsidRPr="00D120AC">
            <w:rPr>
              <w:noProof/>
              <w:lang w:val="en-CA"/>
            </w:rPr>
            <w:t xml:space="preserve"> Triazine-Based Porous Organic Polymer-Laden </w:t>
          </w:r>
          <w:r w:rsidRPr="00D120AC">
            <w:rPr>
              <w:noProof/>
              <w:lang w:val="en-CA"/>
            </w:rPr>
            <w:t>PEO</w:t>
          </w:r>
          <w:r w:rsidR="00CA4540" w:rsidRPr="00D120AC">
            <w:rPr>
              <w:noProof/>
              <w:lang w:val="en-CA"/>
            </w:rPr>
            <w:t xml:space="preserve">-Based Electrolyte </w:t>
          </w:r>
          <w:r w:rsidR="00F86748">
            <w:rPr>
              <w:noProof/>
              <w:lang w:val="en-CA"/>
            </w:rPr>
            <w:t>a</w:t>
          </w:r>
          <w:r w:rsidR="00CA4540" w:rsidRPr="00D120AC">
            <w:rPr>
              <w:noProof/>
              <w:lang w:val="en-CA"/>
            </w:rPr>
            <w:t xml:space="preserve">nd </w:t>
          </w:r>
          <w:r w:rsidR="00F86748">
            <w:rPr>
              <w:noProof/>
              <w:lang w:val="en-CA"/>
            </w:rPr>
            <w:t>i</w:t>
          </w:r>
          <w:r w:rsidR="00CA4540" w:rsidRPr="00D120AC">
            <w:rPr>
              <w:noProof/>
              <w:lang w:val="en-CA"/>
            </w:rPr>
            <w:t xml:space="preserve">ts Application </w:t>
          </w:r>
          <w:r w:rsidR="00CA4540">
            <w:rPr>
              <w:noProof/>
              <w:lang w:val="en-CA"/>
            </w:rPr>
            <w:t>f</w:t>
          </w:r>
          <w:r w:rsidR="00CA4540" w:rsidRPr="00D120AC">
            <w:rPr>
              <w:noProof/>
              <w:lang w:val="en-CA"/>
            </w:rPr>
            <w:t>or All-Solid-State Lithium Batteries</w:t>
          </w:r>
          <w:r w:rsidRPr="00D120AC">
            <w:rPr>
              <w:noProof/>
              <w:lang w:val="en-CA"/>
            </w:rPr>
            <w:t xml:space="preserve">,” </w:t>
          </w:r>
          <w:r w:rsidRPr="00D120AC">
            <w:rPr>
              <w:i/>
              <w:iCs/>
              <w:noProof/>
              <w:lang w:val="en-CA"/>
            </w:rPr>
            <w:t>Mater. Chem. Front.</w:t>
          </w:r>
          <w:r w:rsidRPr="00D120AC">
            <w:rPr>
              <w:noProof/>
              <w:lang w:val="en-CA"/>
            </w:rPr>
            <w:t>, vol. 4, no. 3, pp. 933–940, 2020, doi: 10.1039/c9qm00707e.</w:t>
          </w:r>
        </w:p>
        <w:p w14:paraId="49E73A90" w14:textId="62AC3146" w:rsidR="00872A4B" w:rsidRPr="00D120AC" w:rsidRDefault="00872A4B" w:rsidP="00B15BDB">
          <w:pPr>
            <w:widowControl w:val="0"/>
            <w:autoSpaceDE w:val="0"/>
            <w:autoSpaceDN w:val="0"/>
            <w:adjustRightInd w:val="0"/>
            <w:ind w:left="640" w:hanging="640"/>
            <w:rPr>
              <w:noProof/>
              <w:lang w:val="en-CA"/>
            </w:rPr>
          </w:pPr>
          <w:r w:rsidRPr="00D120AC">
            <w:rPr>
              <w:noProof/>
              <w:lang w:val="en-CA"/>
            </w:rPr>
            <w:t>[23]</w:t>
          </w:r>
          <w:r w:rsidRPr="00D120AC">
            <w:rPr>
              <w:noProof/>
              <w:lang w:val="en-CA"/>
            </w:rPr>
            <w:tab/>
            <w:t>E. Quartarone, P. Mustarelli, and A. Magistris, “PEO-</w:t>
          </w:r>
          <w:r w:rsidR="00CA4540">
            <w:rPr>
              <w:noProof/>
              <w:lang w:val="en-CA"/>
            </w:rPr>
            <w:t>B</w:t>
          </w:r>
          <w:r w:rsidRPr="00D120AC">
            <w:rPr>
              <w:noProof/>
              <w:lang w:val="en-CA"/>
            </w:rPr>
            <w:t xml:space="preserve">ased </w:t>
          </w:r>
          <w:r w:rsidR="00CA4540">
            <w:rPr>
              <w:noProof/>
              <w:lang w:val="en-CA"/>
            </w:rPr>
            <w:t>C</w:t>
          </w:r>
          <w:r w:rsidRPr="00D120AC">
            <w:rPr>
              <w:noProof/>
              <w:lang w:val="en-CA"/>
            </w:rPr>
            <w:t xml:space="preserve">omposite </w:t>
          </w:r>
          <w:r w:rsidR="00CA4540">
            <w:rPr>
              <w:noProof/>
              <w:lang w:val="en-CA"/>
            </w:rPr>
            <w:t>P</w:t>
          </w:r>
          <w:r w:rsidRPr="00D120AC">
            <w:rPr>
              <w:noProof/>
              <w:lang w:val="en-CA"/>
            </w:rPr>
            <w:t xml:space="preserve">olymer </w:t>
          </w:r>
          <w:r w:rsidR="00CA4540">
            <w:rPr>
              <w:noProof/>
              <w:lang w:val="en-CA"/>
            </w:rPr>
            <w:t>E</w:t>
          </w:r>
          <w:r w:rsidRPr="00D120AC">
            <w:rPr>
              <w:noProof/>
              <w:lang w:val="en-CA"/>
            </w:rPr>
            <w:t xml:space="preserve">lectrolytes,” </w:t>
          </w:r>
          <w:r w:rsidRPr="00D120AC">
            <w:rPr>
              <w:i/>
              <w:iCs/>
              <w:noProof/>
              <w:lang w:val="en-CA"/>
            </w:rPr>
            <w:t>Solid State Ionics</w:t>
          </w:r>
          <w:r w:rsidRPr="00D120AC">
            <w:rPr>
              <w:noProof/>
              <w:lang w:val="en-CA"/>
            </w:rPr>
            <w:t>, vol. 110, no. 1–2, pp. 1–14, 1998, doi: 10.1016/s0167-2738(98)00114-3.</w:t>
          </w:r>
        </w:p>
        <w:p w14:paraId="46BE8E9D" w14:textId="7AEB4276" w:rsidR="00872A4B" w:rsidRPr="00D120AC" w:rsidRDefault="00872A4B" w:rsidP="00B15BDB">
          <w:pPr>
            <w:widowControl w:val="0"/>
            <w:autoSpaceDE w:val="0"/>
            <w:autoSpaceDN w:val="0"/>
            <w:adjustRightInd w:val="0"/>
            <w:ind w:left="640" w:hanging="640"/>
            <w:rPr>
              <w:noProof/>
              <w:lang w:val="en-CA"/>
            </w:rPr>
          </w:pPr>
          <w:r w:rsidRPr="00D120AC">
            <w:rPr>
              <w:noProof/>
              <w:lang w:val="en-CA"/>
            </w:rPr>
            <w:t>[24]</w:t>
          </w:r>
          <w:r w:rsidRPr="00D120AC">
            <w:rPr>
              <w:noProof/>
              <w:lang w:val="en-CA"/>
            </w:rPr>
            <w:tab/>
          </w:r>
          <w:r w:rsidR="007153C1" w:rsidRPr="00D120AC">
            <w:rPr>
              <w:color w:val="222222"/>
              <w:shd w:val="clear" w:color="auto" w:fill="FFFFFF"/>
              <w:lang w:val="en-CA"/>
            </w:rPr>
            <w:t>Yao, P., Yu, H., Ding, Z., Liu, Y., Lu, J., Lavorgna, M., Wu, J. and Liu, X.</w:t>
          </w:r>
          <w:r w:rsidRPr="00D120AC">
            <w:rPr>
              <w:noProof/>
              <w:lang w:val="en-CA"/>
            </w:rPr>
            <w:t xml:space="preserve">, “Review on Polymer-Based Composite Electrolytes for Lithium Batteries,” </w:t>
          </w:r>
          <w:r w:rsidRPr="00D120AC">
            <w:rPr>
              <w:i/>
              <w:iCs/>
              <w:noProof/>
              <w:lang w:val="en-CA"/>
            </w:rPr>
            <w:t>Front. Chem.</w:t>
          </w:r>
          <w:r w:rsidRPr="00D120AC">
            <w:rPr>
              <w:noProof/>
              <w:lang w:val="en-CA"/>
            </w:rPr>
            <w:t>, vol. 7, no. August, pp. 1–17, 2019, doi: 10.3389/fchem.2019.00522.</w:t>
          </w:r>
        </w:p>
        <w:p w14:paraId="1771F0E2" w14:textId="1C76730E" w:rsidR="00872A4B" w:rsidRPr="00D120AC" w:rsidRDefault="00872A4B" w:rsidP="00B15BDB">
          <w:pPr>
            <w:widowControl w:val="0"/>
            <w:autoSpaceDE w:val="0"/>
            <w:autoSpaceDN w:val="0"/>
            <w:adjustRightInd w:val="0"/>
            <w:ind w:left="640" w:hanging="640"/>
            <w:rPr>
              <w:noProof/>
              <w:lang w:val="en-CA"/>
            </w:rPr>
          </w:pPr>
          <w:r w:rsidRPr="00D120AC">
            <w:rPr>
              <w:noProof/>
              <w:lang w:val="en-CA"/>
            </w:rPr>
            <w:t>[25]</w:t>
          </w:r>
          <w:r w:rsidRPr="00D120AC">
            <w:rPr>
              <w:noProof/>
              <w:lang w:val="en-CA"/>
            </w:rPr>
            <w:tab/>
            <w:t xml:space="preserve">W. Wang, Z. Fang, M. Zhao, Y. Peng, J. Zhang, and S. Guan, “Solid </w:t>
          </w:r>
          <w:r w:rsidR="00CA4540" w:rsidRPr="00D120AC">
            <w:rPr>
              <w:noProof/>
              <w:lang w:val="en-CA"/>
            </w:rPr>
            <w:t xml:space="preserve">Polymer Electrolytes Based </w:t>
          </w:r>
          <w:r w:rsidR="00CA4540">
            <w:rPr>
              <w:noProof/>
              <w:lang w:val="en-CA"/>
            </w:rPr>
            <w:t>o</w:t>
          </w:r>
          <w:r w:rsidR="00CA4540" w:rsidRPr="00D120AC">
            <w:rPr>
              <w:noProof/>
              <w:lang w:val="en-CA"/>
            </w:rPr>
            <w:t xml:space="preserve">n </w:t>
          </w:r>
          <w:r w:rsidR="00CA4540">
            <w:rPr>
              <w:noProof/>
              <w:lang w:val="en-CA"/>
            </w:rPr>
            <w:t>t</w:t>
          </w:r>
          <w:r w:rsidR="00CA4540" w:rsidRPr="00D120AC">
            <w:rPr>
              <w:noProof/>
              <w:lang w:val="en-CA"/>
            </w:rPr>
            <w:t xml:space="preserve">he Composite </w:t>
          </w:r>
          <w:r w:rsidR="00CA4540">
            <w:rPr>
              <w:noProof/>
              <w:lang w:val="en-CA"/>
            </w:rPr>
            <w:t>o</w:t>
          </w:r>
          <w:r w:rsidR="00CA4540" w:rsidRPr="00D120AC">
            <w:rPr>
              <w:noProof/>
              <w:lang w:val="en-CA"/>
            </w:rPr>
            <w:t xml:space="preserve">f </w:t>
          </w:r>
          <w:r w:rsidRPr="00D120AC">
            <w:rPr>
              <w:noProof/>
              <w:lang w:val="en-CA"/>
            </w:rPr>
            <w:t>PEO</w:t>
          </w:r>
          <w:r w:rsidR="00CA4540" w:rsidRPr="00D120AC">
            <w:rPr>
              <w:noProof/>
              <w:lang w:val="en-CA"/>
            </w:rPr>
            <w:t>–Li</w:t>
          </w:r>
          <w:r w:rsidR="00CA4540">
            <w:rPr>
              <w:noProof/>
              <w:lang w:val="en-CA"/>
            </w:rPr>
            <w:t>FS</w:t>
          </w:r>
          <w:r w:rsidR="00CA4540" w:rsidRPr="00D120AC">
            <w:rPr>
              <w:noProof/>
              <w:lang w:val="en-CA"/>
            </w:rPr>
            <w:t>i And Organic Ionic Plastic Crystal</w:t>
          </w:r>
          <w:r w:rsidRPr="00D120AC">
            <w:rPr>
              <w:noProof/>
              <w:lang w:val="en-CA"/>
            </w:rPr>
            <w:t xml:space="preserve">,” </w:t>
          </w:r>
          <w:r w:rsidRPr="00D120AC">
            <w:rPr>
              <w:i/>
              <w:iCs/>
              <w:noProof/>
              <w:lang w:val="en-CA"/>
            </w:rPr>
            <w:t>Chem. Phys. Lett.</w:t>
          </w:r>
          <w:r w:rsidRPr="00D120AC">
            <w:rPr>
              <w:noProof/>
              <w:lang w:val="en-CA"/>
            </w:rPr>
            <w:t>, vol. 747, no. March, p. 137335, 2020, doi: 10.1016/j.cplett.2020.137335.</w:t>
          </w:r>
        </w:p>
        <w:p w14:paraId="0932CB66" w14:textId="0300C315" w:rsidR="00872A4B" w:rsidRPr="00D120AC" w:rsidRDefault="00872A4B" w:rsidP="00B15BDB">
          <w:pPr>
            <w:widowControl w:val="0"/>
            <w:autoSpaceDE w:val="0"/>
            <w:autoSpaceDN w:val="0"/>
            <w:adjustRightInd w:val="0"/>
            <w:ind w:left="640" w:hanging="640"/>
            <w:rPr>
              <w:noProof/>
              <w:lang w:val="en-CA"/>
            </w:rPr>
          </w:pPr>
          <w:r w:rsidRPr="00D120AC">
            <w:rPr>
              <w:noProof/>
              <w:lang w:val="en-CA"/>
            </w:rPr>
            <w:t>[26]</w:t>
          </w:r>
          <w:r w:rsidRPr="00D120AC">
            <w:rPr>
              <w:noProof/>
              <w:lang w:val="en-CA"/>
            </w:rPr>
            <w:tab/>
          </w:r>
          <w:r w:rsidR="007153C1" w:rsidRPr="00D120AC">
            <w:rPr>
              <w:color w:val="222222"/>
              <w:shd w:val="clear" w:color="auto" w:fill="FFFFFF"/>
              <w:lang w:val="en-CA"/>
            </w:rPr>
            <w:t>Liu, J., Fang, W., Gao, S., Chen, Y., Chen, S., Hu, C., Cai, S., Liu, Z. and Liu, X.</w:t>
          </w:r>
          <w:r w:rsidRPr="00D120AC">
            <w:rPr>
              <w:noProof/>
              <w:lang w:val="en-CA"/>
            </w:rPr>
            <w:t xml:space="preserve">, “Contactless </w:t>
          </w:r>
          <w:r w:rsidR="00CA4540" w:rsidRPr="00D120AC">
            <w:rPr>
              <w:noProof/>
              <w:lang w:val="en-CA"/>
            </w:rPr>
            <w:t xml:space="preserve">Electric–Field Driven </w:t>
          </w:r>
          <w:r w:rsidRPr="00D120AC">
            <w:rPr>
              <w:noProof/>
              <w:lang w:val="en-CA"/>
            </w:rPr>
            <w:t>Z</w:t>
          </w:r>
          <w:r w:rsidR="00CA4540" w:rsidRPr="00D120AC">
            <w:rPr>
              <w:noProof/>
              <w:lang w:val="en-CA"/>
            </w:rPr>
            <w:t xml:space="preserve">-Alignment </w:t>
          </w:r>
          <w:r w:rsidR="00CA4540">
            <w:rPr>
              <w:noProof/>
              <w:lang w:val="en-CA"/>
            </w:rPr>
            <w:t>o</w:t>
          </w:r>
          <w:r w:rsidR="00CA4540" w:rsidRPr="00D120AC">
            <w:rPr>
              <w:noProof/>
              <w:lang w:val="en-CA"/>
            </w:rPr>
            <w:t xml:space="preserve">f Ceramic Nanoparticles </w:t>
          </w:r>
          <w:r w:rsidR="00CA4540">
            <w:rPr>
              <w:noProof/>
              <w:lang w:val="en-CA"/>
            </w:rPr>
            <w:t>i</w:t>
          </w:r>
          <w:r w:rsidR="00CA4540" w:rsidRPr="00D120AC">
            <w:rPr>
              <w:noProof/>
              <w:lang w:val="en-CA"/>
            </w:rPr>
            <w:t xml:space="preserve">n Polymer Electrolyte </w:t>
          </w:r>
          <w:r w:rsidR="00CA4540">
            <w:rPr>
              <w:noProof/>
              <w:lang w:val="en-CA"/>
            </w:rPr>
            <w:t>t</w:t>
          </w:r>
          <w:r w:rsidR="00CA4540" w:rsidRPr="00D120AC">
            <w:rPr>
              <w:noProof/>
              <w:lang w:val="en-CA"/>
            </w:rPr>
            <w:t>o Enhance Ionic Conductivity</w:t>
          </w:r>
          <w:r w:rsidRPr="00D120AC">
            <w:rPr>
              <w:noProof/>
              <w:lang w:val="en-CA"/>
            </w:rPr>
            <w:t xml:space="preserve">,” </w:t>
          </w:r>
          <w:r w:rsidRPr="00D120AC">
            <w:rPr>
              <w:i/>
              <w:iCs/>
              <w:noProof/>
              <w:lang w:val="en-CA"/>
            </w:rPr>
            <w:t>Mater. Des.</w:t>
          </w:r>
          <w:r w:rsidRPr="00D120AC">
            <w:rPr>
              <w:noProof/>
              <w:lang w:val="en-CA"/>
            </w:rPr>
            <w:t>, vol. 192, p. 108753, 2020, doi: 10.1016/j.matdes.2020.108753.</w:t>
          </w:r>
        </w:p>
        <w:p w14:paraId="7CB1AB7E" w14:textId="5E1924B1" w:rsidR="00872A4B" w:rsidRPr="00D120AC" w:rsidRDefault="00872A4B" w:rsidP="00B15BDB">
          <w:pPr>
            <w:widowControl w:val="0"/>
            <w:autoSpaceDE w:val="0"/>
            <w:autoSpaceDN w:val="0"/>
            <w:adjustRightInd w:val="0"/>
            <w:ind w:left="640" w:hanging="640"/>
            <w:rPr>
              <w:noProof/>
              <w:lang w:val="en-CA"/>
            </w:rPr>
          </w:pPr>
          <w:r w:rsidRPr="00D120AC">
            <w:rPr>
              <w:noProof/>
              <w:lang w:val="en-CA"/>
            </w:rPr>
            <w:t>[27]</w:t>
          </w:r>
          <w:r w:rsidRPr="00D120AC">
            <w:rPr>
              <w:noProof/>
              <w:lang w:val="en-CA"/>
            </w:rPr>
            <w:tab/>
            <w:t xml:space="preserve">H. Tian, T. H. Le, and Y. Yang, “A </w:t>
          </w:r>
          <w:r w:rsidR="00CA4540">
            <w:rPr>
              <w:noProof/>
              <w:lang w:val="en-CA"/>
            </w:rPr>
            <w:t>F</w:t>
          </w:r>
          <w:r w:rsidRPr="00D120AC">
            <w:rPr>
              <w:noProof/>
              <w:lang w:val="en-CA"/>
            </w:rPr>
            <w:t xml:space="preserve">ibrotic </w:t>
          </w:r>
          <w:r w:rsidR="00CA4540">
            <w:rPr>
              <w:noProof/>
              <w:lang w:val="en-CA"/>
            </w:rPr>
            <w:t>P</w:t>
          </w:r>
          <w:r w:rsidRPr="00D120AC">
            <w:rPr>
              <w:noProof/>
              <w:lang w:val="en-CA"/>
            </w:rPr>
            <w:t>oly (</w:t>
          </w:r>
          <w:r w:rsidR="00CA4540">
            <w:rPr>
              <w:noProof/>
              <w:lang w:val="en-CA"/>
            </w:rPr>
            <w:t>E</w:t>
          </w:r>
          <w:r w:rsidRPr="00D120AC">
            <w:rPr>
              <w:noProof/>
              <w:lang w:val="en-CA"/>
            </w:rPr>
            <w:t xml:space="preserve">thylene </w:t>
          </w:r>
          <w:r w:rsidR="00CA4540">
            <w:rPr>
              <w:noProof/>
              <w:lang w:val="en-CA"/>
            </w:rPr>
            <w:t>O</w:t>
          </w:r>
          <w:r w:rsidRPr="00D120AC">
            <w:rPr>
              <w:noProof/>
              <w:lang w:val="en-CA"/>
            </w:rPr>
            <w:t xml:space="preserve">xide) </w:t>
          </w:r>
          <w:r w:rsidR="00CA4540">
            <w:rPr>
              <w:noProof/>
              <w:lang w:val="en-CA"/>
            </w:rPr>
            <w:t>P</w:t>
          </w:r>
          <w:r w:rsidRPr="00D120AC">
            <w:rPr>
              <w:noProof/>
              <w:lang w:val="en-CA"/>
            </w:rPr>
            <w:t xml:space="preserve">olymer </w:t>
          </w:r>
          <w:r w:rsidR="00CA4540">
            <w:rPr>
              <w:noProof/>
              <w:lang w:val="en-CA"/>
            </w:rPr>
            <w:t>E</w:t>
          </w:r>
          <w:r w:rsidRPr="00D120AC">
            <w:rPr>
              <w:noProof/>
              <w:lang w:val="en-CA"/>
            </w:rPr>
            <w:t xml:space="preserve">lectrolyte with </w:t>
          </w:r>
          <w:r w:rsidR="00CA4540">
            <w:rPr>
              <w:noProof/>
              <w:lang w:val="en-CA"/>
            </w:rPr>
            <w:t>H</w:t>
          </w:r>
          <w:r w:rsidRPr="00D120AC">
            <w:rPr>
              <w:noProof/>
              <w:lang w:val="en-CA"/>
            </w:rPr>
            <w:t xml:space="preserve">igh </w:t>
          </w:r>
          <w:r w:rsidR="00CA4540">
            <w:rPr>
              <w:noProof/>
              <w:lang w:val="en-CA"/>
            </w:rPr>
            <w:t>I</w:t>
          </w:r>
          <w:r w:rsidRPr="00D120AC">
            <w:rPr>
              <w:noProof/>
              <w:lang w:val="en-CA"/>
            </w:rPr>
            <w:t xml:space="preserve">onic </w:t>
          </w:r>
          <w:r w:rsidR="00CA4540">
            <w:rPr>
              <w:noProof/>
              <w:lang w:val="en-CA"/>
            </w:rPr>
            <w:t>C</w:t>
          </w:r>
          <w:r w:rsidRPr="00D120AC">
            <w:rPr>
              <w:noProof/>
              <w:lang w:val="en-CA"/>
            </w:rPr>
            <w:t xml:space="preserve">onductivity for </w:t>
          </w:r>
          <w:r w:rsidR="00CA4540">
            <w:rPr>
              <w:noProof/>
              <w:lang w:val="en-CA"/>
            </w:rPr>
            <w:t>S</w:t>
          </w:r>
          <w:r w:rsidRPr="00D120AC">
            <w:rPr>
              <w:noProof/>
              <w:lang w:val="en-CA"/>
            </w:rPr>
            <w:t xml:space="preserve">table </w:t>
          </w:r>
          <w:r w:rsidR="00CA4540">
            <w:rPr>
              <w:noProof/>
              <w:lang w:val="en-CA"/>
            </w:rPr>
            <w:t>L</w:t>
          </w:r>
          <w:r w:rsidRPr="00D120AC">
            <w:rPr>
              <w:noProof/>
              <w:lang w:val="en-CA"/>
            </w:rPr>
            <w:t xml:space="preserve">ithium </w:t>
          </w:r>
          <w:r w:rsidR="00CA4540">
            <w:rPr>
              <w:noProof/>
              <w:lang w:val="en-CA"/>
            </w:rPr>
            <w:t>M</w:t>
          </w:r>
          <w:r w:rsidRPr="00D120AC">
            <w:rPr>
              <w:noProof/>
              <w:lang w:val="en-CA"/>
            </w:rPr>
            <w:t xml:space="preserve">etal </w:t>
          </w:r>
          <w:r w:rsidR="00CA4540">
            <w:rPr>
              <w:noProof/>
              <w:lang w:val="en-CA"/>
            </w:rPr>
            <w:t>B</w:t>
          </w:r>
          <w:r w:rsidRPr="00D120AC">
            <w:rPr>
              <w:noProof/>
              <w:lang w:val="en-CA"/>
            </w:rPr>
            <w:t xml:space="preserve">atteries,” </w:t>
          </w:r>
          <w:r w:rsidRPr="00D120AC">
            <w:rPr>
              <w:i/>
              <w:iCs/>
              <w:noProof/>
              <w:lang w:val="en-CA"/>
            </w:rPr>
            <w:t>J. Mater. Sci. Mater. Electron.</w:t>
          </w:r>
          <w:r w:rsidRPr="00D120AC">
            <w:rPr>
              <w:noProof/>
              <w:lang w:val="en-CA"/>
            </w:rPr>
            <w:t>, vol. 30, no. 5, pp. 5038–5043, 2019, doi: 10.1007/s10854-019-00801-7.</w:t>
          </w:r>
        </w:p>
        <w:p w14:paraId="470CFDC1" w14:textId="59FF7A73" w:rsidR="00872A4B" w:rsidRPr="00D120AC" w:rsidRDefault="00872A4B" w:rsidP="00B15BDB">
          <w:pPr>
            <w:widowControl w:val="0"/>
            <w:autoSpaceDE w:val="0"/>
            <w:autoSpaceDN w:val="0"/>
            <w:adjustRightInd w:val="0"/>
            <w:ind w:left="640" w:hanging="640"/>
            <w:rPr>
              <w:noProof/>
              <w:lang w:val="en-CA"/>
            </w:rPr>
          </w:pPr>
          <w:r w:rsidRPr="00D120AC">
            <w:rPr>
              <w:noProof/>
              <w:lang w:val="en-CA"/>
            </w:rPr>
            <w:t>[28]</w:t>
          </w:r>
          <w:r w:rsidRPr="00D120AC">
            <w:rPr>
              <w:noProof/>
              <w:lang w:val="en-CA"/>
            </w:rPr>
            <w:tab/>
            <w:t xml:space="preserve">S. H. Kim, K. H. Choi, S. J. Cho, E. H. Kil, and S. Y. Lee, “Mechanically </w:t>
          </w:r>
          <w:r w:rsidR="00CA4540" w:rsidRPr="00D120AC">
            <w:rPr>
              <w:noProof/>
              <w:lang w:val="en-CA"/>
            </w:rPr>
            <w:t xml:space="preserve">Compliant </w:t>
          </w:r>
          <w:r w:rsidR="00CA4540">
            <w:rPr>
              <w:noProof/>
              <w:lang w:val="en-CA"/>
            </w:rPr>
            <w:t>a</w:t>
          </w:r>
          <w:r w:rsidR="00CA4540" w:rsidRPr="00D120AC">
            <w:rPr>
              <w:noProof/>
              <w:lang w:val="en-CA"/>
            </w:rPr>
            <w:t xml:space="preserve">nd </w:t>
          </w:r>
          <w:r w:rsidR="00CA4540" w:rsidRPr="00D120AC">
            <w:rPr>
              <w:noProof/>
              <w:lang w:val="en-CA"/>
            </w:rPr>
            <w:lastRenderedPageBreak/>
            <w:t xml:space="preserve">Lithium Dendrite Growth-Suppressing Composite Polymer Electrolytes </w:t>
          </w:r>
          <w:r w:rsidR="00CA4540">
            <w:rPr>
              <w:noProof/>
              <w:lang w:val="en-CA"/>
            </w:rPr>
            <w:t>f</w:t>
          </w:r>
          <w:r w:rsidR="00CA4540" w:rsidRPr="00D120AC">
            <w:rPr>
              <w:noProof/>
              <w:lang w:val="en-CA"/>
            </w:rPr>
            <w:t>or Flexible Lithium-Ion Batteries</w:t>
          </w:r>
          <w:r w:rsidRPr="00D120AC">
            <w:rPr>
              <w:noProof/>
              <w:lang w:val="en-CA"/>
            </w:rPr>
            <w:t xml:space="preserve">,” </w:t>
          </w:r>
          <w:r w:rsidRPr="00D120AC">
            <w:rPr>
              <w:i/>
              <w:iCs/>
              <w:noProof/>
              <w:lang w:val="en-CA"/>
            </w:rPr>
            <w:t>J. Mater. Chem. A</w:t>
          </w:r>
          <w:r w:rsidRPr="00D120AC">
            <w:rPr>
              <w:noProof/>
              <w:lang w:val="en-CA"/>
            </w:rPr>
            <w:t>, vol. 1, no. 16, pp. 4949–4955, 2013, doi: 10.1039/c3ta10612h.</w:t>
          </w:r>
        </w:p>
        <w:p w14:paraId="586FAE0D" w14:textId="0A6CE219" w:rsidR="00872A4B" w:rsidRPr="00D120AC" w:rsidRDefault="00872A4B" w:rsidP="00B15BDB">
          <w:pPr>
            <w:widowControl w:val="0"/>
            <w:autoSpaceDE w:val="0"/>
            <w:autoSpaceDN w:val="0"/>
            <w:adjustRightInd w:val="0"/>
            <w:ind w:left="640" w:hanging="640"/>
            <w:rPr>
              <w:noProof/>
              <w:lang w:val="en-CA"/>
            </w:rPr>
          </w:pPr>
          <w:r w:rsidRPr="00D120AC">
            <w:rPr>
              <w:noProof/>
              <w:lang w:val="en-CA"/>
            </w:rPr>
            <w:t>[29]</w:t>
          </w:r>
          <w:r w:rsidRPr="00D120AC">
            <w:rPr>
              <w:noProof/>
              <w:lang w:val="en-CA"/>
            </w:rPr>
            <w:tab/>
          </w:r>
          <w:r w:rsidR="007153C1" w:rsidRPr="00D120AC">
            <w:rPr>
              <w:color w:val="222222"/>
              <w:shd w:val="clear" w:color="auto" w:fill="FFFFFF"/>
              <w:lang w:val="en-CA"/>
            </w:rPr>
            <w:t>Wang, C., Yang, Y., Liu, X., Zhong, H., Xu, H., Xu, Z., Shao, H. and Ding, F.</w:t>
          </w:r>
          <w:r w:rsidRPr="00D120AC">
            <w:rPr>
              <w:noProof/>
              <w:lang w:val="en-CA"/>
            </w:rPr>
            <w:t xml:space="preserve">, “Suppression of Lithium Dendrite Formation by Using LAGP-PEO (LiTFSI) Composite Solid Electrolyte and Lithium Metal Anode Modified by PEO (LiTFSI) in All-Solid-State Lithium Batteries,” </w:t>
          </w:r>
          <w:r w:rsidRPr="00D120AC">
            <w:rPr>
              <w:i/>
              <w:iCs/>
              <w:noProof/>
              <w:lang w:val="en-CA"/>
            </w:rPr>
            <w:t>ACS Appl. Mater. Interfaces</w:t>
          </w:r>
          <w:r w:rsidRPr="00D120AC">
            <w:rPr>
              <w:noProof/>
              <w:lang w:val="en-CA"/>
            </w:rPr>
            <w:t>, vol. 9, no. 15, pp. 13694–13702, 2017, doi: 10.1021/acsami.7b00336.</w:t>
          </w:r>
        </w:p>
        <w:p w14:paraId="4F7519DD" w14:textId="015F98FE" w:rsidR="00872A4B" w:rsidRPr="00D120AC" w:rsidRDefault="00872A4B" w:rsidP="00B15BDB">
          <w:pPr>
            <w:widowControl w:val="0"/>
            <w:autoSpaceDE w:val="0"/>
            <w:autoSpaceDN w:val="0"/>
            <w:adjustRightInd w:val="0"/>
            <w:ind w:left="640" w:hanging="640"/>
            <w:rPr>
              <w:noProof/>
              <w:lang w:val="en-CA"/>
            </w:rPr>
          </w:pPr>
          <w:r w:rsidRPr="00D120AC">
            <w:rPr>
              <w:noProof/>
              <w:lang w:val="en-CA"/>
            </w:rPr>
            <w:t>[30]</w:t>
          </w:r>
          <w:r w:rsidRPr="00D120AC">
            <w:rPr>
              <w:noProof/>
              <w:lang w:val="en-CA"/>
            </w:rPr>
            <w:tab/>
            <w:t xml:space="preserve">P. Bashiri, T. P. Rao, V. M. Naik, G. A. Nazri, and R. Naik, “AC </w:t>
          </w:r>
          <w:r w:rsidR="00CA4540" w:rsidRPr="00D120AC">
            <w:rPr>
              <w:noProof/>
              <w:lang w:val="en-CA"/>
            </w:rPr>
            <w:t xml:space="preserve">Conductivity Studies </w:t>
          </w:r>
          <w:r w:rsidR="00CA4540">
            <w:rPr>
              <w:noProof/>
              <w:lang w:val="en-CA"/>
            </w:rPr>
            <w:t>o</w:t>
          </w:r>
          <w:r w:rsidR="00CA4540" w:rsidRPr="00D120AC">
            <w:rPr>
              <w:noProof/>
              <w:lang w:val="en-CA"/>
            </w:rPr>
            <w:t xml:space="preserve">f Polyethylene Oxide-Garnet-Type </w:t>
          </w:r>
          <w:r w:rsidRPr="00D120AC">
            <w:rPr>
              <w:noProof/>
              <w:lang w:val="en-CA"/>
            </w:rPr>
            <w:t>Li</w:t>
          </w:r>
          <w:r w:rsidRPr="00CA4540">
            <w:rPr>
              <w:noProof/>
              <w:vertAlign w:val="subscript"/>
              <w:lang w:val="en-CA"/>
            </w:rPr>
            <w:t>7</w:t>
          </w:r>
          <w:r w:rsidRPr="00D120AC">
            <w:rPr>
              <w:noProof/>
              <w:lang w:val="en-CA"/>
            </w:rPr>
            <w:t>La</w:t>
          </w:r>
          <w:r w:rsidRPr="00CA4540">
            <w:rPr>
              <w:noProof/>
              <w:vertAlign w:val="subscript"/>
              <w:lang w:val="en-CA"/>
            </w:rPr>
            <w:t>3</w:t>
          </w:r>
          <w:r w:rsidRPr="00D120AC">
            <w:rPr>
              <w:noProof/>
              <w:lang w:val="en-CA"/>
            </w:rPr>
            <w:t>Zr</w:t>
          </w:r>
          <w:r w:rsidRPr="00CA4540">
            <w:rPr>
              <w:noProof/>
              <w:vertAlign w:val="subscript"/>
              <w:lang w:val="en-CA"/>
            </w:rPr>
            <w:t>2</w:t>
          </w:r>
          <w:r w:rsidRPr="00D120AC">
            <w:rPr>
              <w:noProof/>
              <w:lang w:val="en-CA"/>
            </w:rPr>
            <w:t>O</w:t>
          </w:r>
          <w:r w:rsidRPr="00CA4540">
            <w:rPr>
              <w:noProof/>
              <w:vertAlign w:val="subscript"/>
              <w:lang w:val="en-CA"/>
            </w:rPr>
            <w:t>12</w:t>
          </w:r>
          <w:r w:rsidRPr="00D120AC">
            <w:rPr>
              <w:noProof/>
              <w:lang w:val="en-CA"/>
            </w:rPr>
            <w:t xml:space="preserve"> </w:t>
          </w:r>
          <w:r w:rsidR="00CA4540" w:rsidRPr="00D120AC">
            <w:rPr>
              <w:noProof/>
              <w:lang w:val="en-CA"/>
            </w:rPr>
            <w:t>Hybrid Composite Solid Polymer Electrolyte Films</w:t>
          </w:r>
          <w:r w:rsidRPr="00D120AC">
            <w:rPr>
              <w:noProof/>
              <w:lang w:val="en-CA"/>
            </w:rPr>
            <w:t xml:space="preserve">,” </w:t>
          </w:r>
          <w:r w:rsidRPr="00D120AC">
            <w:rPr>
              <w:i/>
              <w:iCs/>
              <w:noProof/>
              <w:lang w:val="en-CA"/>
            </w:rPr>
            <w:t>Solid State Ionics</w:t>
          </w:r>
          <w:r w:rsidRPr="00D120AC">
            <w:rPr>
              <w:noProof/>
              <w:lang w:val="en-CA"/>
            </w:rPr>
            <w:t>, vol. 343, no. October, p. 115089, 2019, doi: 10.1016/j.ssi.2019.115089.</w:t>
          </w:r>
        </w:p>
        <w:p w14:paraId="5A6E17C3" w14:textId="77B76ADD" w:rsidR="00872A4B" w:rsidRPr="00D120AC" w:rsidRDefault="00872A4B" w:rsidP="00B15BDB">
          <w:pPr>
            <w:widowControl w:val="0"/>
            <w:autoSpaceDE w:val="0"/>
            <w:autoSpaceDN w:val="0"/>
            <w:adjustRightInd w:val="0"/>
            <w:ind w:left="640" w:hanging="640"/>
            <w:rPr>
              <w:noProof/>
              <w:lang w:val="en-CA"/>
            </w:rPr>
          </w:pPr>
          <w:r w:rsidRPr="00D120AC">
            <w:rPr>
              <w:noProof/>
              <w:lang w:val="en-CA"/>
            </w:rPr>
            <w:t>[31]</w:t>
          </w:r>
          <w:r w:rsidRPr="00D120AC">
            <w:rPr>
              <w:noProof/>
              <w:lang w:val="en-CA"/>
            </w:rPr>
            <w:tab/>
            <w:t xml:space="preserve">K. E. Strawhecker and E. Manias, “Crystallization </w:t>
          </w:r>
          <w:r w:rsidR="00AA0A73">
            <w:rPr>
              <w:noProof/>
              <w:lang w:val="en-CA"/>
            </w:rPr>
            <w:t>B</w:t>
          </w:r>
          <w:r w:rsidRPr="00D120AC">
            <w:rPr>
              <w:noProof/>
              <w:lang w:val="en-CA"/>
            </w:rPr>
            <w:t xml:space="preserve">ehavior of </w:t>
          </w:r>
          <w:r w:rsidR="00AA0A73">
            <w:rPr>
              <w:noProof/>
              <w:lang w:val="en-CA"/>
            </w:rPr>
            <w:t>P</w:t>
          </w:r>
          <w:r w:rsidRPr="00D120AC">
            <w:rPr>
              <w:noProof/>
              <w:lang w:val="en-CA"/>
            </w:rPr>
            <w:t>oly(</w:t>
          </w:r>
          <w:r w:rsidR="00AA0A73">
            <w:rPr>
              <w:noProof/>
              <w:lang w:val="en-CA"/>
            </w:rPr>
            <w:t>E</w:t>
          </w:r>
          <w:r w:rsidRPr="00D120AC">
            <w:rPr>
              <w:noProof/>
              <w:lang w:val="en-CA"/>
            </w:rPr>
            <w:t xml:space="preserve">thylene </w:t>
          </w:r>
          <w:r w:rsidR="00AA0A73">
            <w:rPr>
              <w:noProof/>
              <w:lang w:val="en-CA"/>
            </w:rPr>
            <w:t>O</w:t>
          </w:r>
          <w:r w:rsidRPr="00D120AC">
            <w:rPr>
              <w:noProof/>
              <w:lang w:val="en-CA"/>
            </w:rPr>
            <w:t xml:space="preserve">xide) in the </w:t>
          </w:r>
          <w:r w:rsidR="00AA0A73">
            <w:rPr>
              <w:noProof/>
              <w:lang w:val="en-CA"/>
            </w:rPr>
            <w:t>P</w:t>
          </w:r>
          <w:r w:rsidRPr="00D120AC">
            <w:rPr>
              <w:noProof/>
              <w:lang w:val="en-CA"/>
            </w:rPr>
            <w:t>resence of Na</w:t>
          </w:r>
          <w:r w:rsidRPr="00D120AC">
            <w:rPr>
              <w:noProof/>
              <w:vertAlign w:val="superscript"/>
              <w:lang w:val="en-CA"/>
            </w:rPr>
            <w:t>+</w:t>
          </w:r>
          <w:r w:rsidRPr="00D120AC">
            <w:rPr>
              <w:noProof/>
              <w:lang w:val="en-CA"/>
            </w:rPr>
            <w:t xml:space="preserve"> </w:t>
          </w:r>
          <w:r w:rsidR="00AA0A73">
            <w:rPr>
              <w:noProof/>
              <w:lang w:val="en-CA"/>
            </w:rPr>
            <w:t>M</w:t>
          </w:r>
          <w:r w:rsidRPr="00D120AC">
            <w:rPr>
              <w:noProof/>
              <w:lang w:val="en-CA"/>
            </w:rPr>
            <w:t xml:space="preserve">ontmorillonite </w:t>
          </w:r>
          <w:r w:rsidR="00AA0A73">
            <w:rPr>
              <w:noProof/>
              <w:lang w:val="en-CA"/>
            </w:rPr>
            <w:t>F</w:t>
          </w:r>
          <w:r w:rsidRPr="00D120AC">
            <w:rPr>
              <w:noProof/>
              <w:lang w:val="en-CA"/>
            </w:rPr>
            <w:t xml:space="preserve">illers,” </w:t>
          </w:r>
          <w:r w:rsidRPr="00D120AC">
            <w:rPr>
              <w:i/>
              <w:iCs/>
              <w:noProof/>
              <w:lang w:val="en-CA"/>
            </w:rPr>
            <w:t>Chem. Mater.</w:t>
          </w:r>
          <w:r w:rsidRPr="00D120AC">
            <w:rPr>
              <w:noProof/>
              <w:lang w:val="en-CA"/>
            </w:rPr>
            <w:t>, vol. 15, no. 4, pp. 844–849, 2003, doi: 10.1021/cm0212865.</w:t>
          </w:r>
        </w:p>
        <w:p w14:paraId="4C9283EF" w14:textId="539E7127" w:rsidR="00872A4B" w:rsidRPr="00D120AC" w:rsidRDefault="00872A4B" w:rsidP="00B15BDB">
          <w:pPr>
            <w:widowControl w:val="0"/>
            <w:autoSpaceDE w:val="0"/>
            <w:autoSpaceDN w:val="0"/>
            <w:adjustRightInd w:val="0"/>
            <w:ind w:left="640" w:hanging="640"/>
            <w:rPr>
              <w:noProof/>
              <w:lang w:val="en-CA"/>
            </w:rPr>
          </w:pPr>
          <w:r w:rsidRPr="00D120AC">
            <w:rPr>
              <w:noProof/>
              <w:lang w:val="en-CA"/>
            </w:rPr>
            <w:t>[32]</w:t>
          </w:r>
          <w:r w:rsidRPr="00D120AC">
            <w:rPr>
              <w:noProof/>
              <w:lang w:val="en-CA"/>
            </w:rPr>
            <w:tab/>
            <w:t xml:space="preserve">J. Syzdek, M. Armand, M. Marcinek, A. Zalewska, G. Zukowska, and W. Wieczorek, “Detailed </w:t>
          </w:r>
          <w:r w:rsidR="00AA0A73">
            <w:rPr>
              <w:noProof/>
              <w:lang w:val="en-CA"/>
            </w:rPr>
            <w:t>S</w:t>
          </w:r>
          <w:r w:rsidRPr="00D120AC">
            <w:rPr>
              <w:noProof/>
              <w:lang w:val="en-CA"/>
            </w:rPr>
            <w:t xml:space="preserve">tudies on the </w:t>
          </w:r>
          <w:r w:rsidR="00AA0A73">
            <w:rPr>
              <w:noProof/>
              <w:lang w:val="en-CA"/>
            </w:rPr>
            <w:t>F</w:t>
          </w:r>
          <w:r w:rsidRPr="00D120AC">
            <w:rPr>
              <w:noProof/>
              <w:lang w:val="en-CA"/>
            </w:rPr>
            <w:t xml:space="preserve">illers </w:t>
          </w:r>
          <w:r w:rsidR="00AA0A73">
            <w:rPr>
              <w:noProof/>
              <w:lang w:val="en-CA"/>
            </w:rPr>
            <w:t>M</w:t>
          </w:r>
          <w:r w:rsidRPr="00D120AC">
            <w:rPr>
              <w:noProof/>
              <w:lang w:val="en-CA"/>
            </w:rPr>
            <w:t xml:space="preserve">odification and </w:t>
          </w:r>
          <w:r w:rsidR="00AA0A73">
            <w:rPr>
              <w:noProof/>
              <w:lang w:val="en-CA"/>
            </w:rPr>
            <w:t>T</w:t>
          </w:r>
          <w:r w:rsidRPr="00D120AC">
            <w:rPr>
              <w:noProof/>
              <w:lang w:val="en-CA"/>
            </w:rPr>
            <w:t xml:space="preserve">heir </w:t>
          </w:r>
          <w:r w:rsidR="00AA0A73">
            <w:rPr>
              <w:noProof/>
              <w:lang w:val="en-CA"/>
            </w:rPr>
            <w:t>I</w:t>
          </w:r>
          <w:r w:rsidRPr="00D120AC">
            <w:rPr>
              <w:noProof/>
              <w:lang w:val="en-CA"/>
            </w:rPr>
            <w:t xml:space="preserve">nfluence on </w:t>
          </w:r>
          <w:r w:rsidR="00AA0A73">
            <w:rPr>
              <w:noProof/>
              <w:lang w:val="en-CA"/>
            </w:rPr>
            <w:t>C</w:t>
          </w:r>
          <w:r w:rsidRPr="00D120AC">
            <w:rPr>
              <w:noProof/>
              <w:lang w:val="en-CA"/>
            </w:rPr>
            <w:t xml:space="preserve">omposite, </w:t>
          </w:r>
          <w:r w:rsidR="00AA0A73">
            <w:rPr>
              <w:noProof/>
              <w:lang w:val="en-CA"/>
            </w:rPr>
            <w:t>P</w:t>
          </w:r>
          <w:r w:rsidRPr="00D120AC">
            <w:rPr>
              <w:noProof/>
              <w:lang w:val="en-CA"/>
            </w:rPr>
            <w:t>oly(</w:t>
          </w:r>
          <w:r w:rsidR="00AA0A73">
            <w:rPr>
              <w:noProof/>
              <w:lang w:val="en-CA"/>
            </w:rPr>
            <w:t>O</w:t>
          </w:r>
          <w:r w:rsidRPr="00D120AC">
            <w:rPr>
              <w:noProof/>
              <w:lang w:val="en-CA"/>
            </w:rPr>
            <w:t>xyethylene)-</w:t>
          </w:r>
          <w:r w:rsidR="00AA0A73">
            <w:rPr>
              <w:noProof/>
              <w:lang w:val="en-CA"/>
            </w:rPr>
            <w:t>B</w:t>
          </w:r>
          <w:r w:rsidRPr="00D120AC">
            <w:rPr>
              <w:noProof/>
              <w:lang w:val="en-CA"/>
            </w:rPr>
            <w:t xml:space="preserve">ased </w:t>
          </w:r>
          <w:r w:rsidR="00AA0A73">
            <w:rPr>
              <w:noProof/>
              <w:lang w:val="en-CA"/>
            </w:rPr>
            <w:t>P</w:t>
          </w:r>
          <w:r w:rsidRPr="00D120AC">
            <w:rPr>
              <w:noProof/>
              <w:lang w:val="en-CA"/>
            </w:rPr>
            <w:t xml:space="preserve">olymeric </w:t>
          </w:r>
          <w:r w:rsidR="00AA0A73">
            <w:rPr>
              <w:noProof/>
              <w:lang w:val="en-CA"/>
            </w:rPr>
            <w:t>E</w:t>
          </w:r>
          <w:r w:rsidRPr="00D120AC">
            <w:rPr>
              <w:noProof/>
              <w:lang w:val="en-CA"/>
            </w:rPr>
            <w:t xml:space="preserve">lectrolytes,” </w:t>
          </w:r>
          <w:r w:rsidRPr="00D120AC">
            <w:rPr>
              <w:i/>
              <w:iCs/>
              <w:noProof/>
              <w:lang w:val="en-CA"/>
            </w:rPr>
            <w:t>Electrochim. Acta</w:t>
          </w:r>
          <w:r w:rsidRPr="00D120AC">
            <w:rPr>
              <w:noProof/>
              <w:lang w:val="en-CA"/>
            </w:rPr>
            <w:t>, vol. 55, no. 4, pp. 1314–1322, 2010, doi: 10.1016/j.electacta.2009.04.025.</w:t>
          </w:r>
        </w:p>
        <w:p w14:paraId="2BDC3779" w14:textId="0BDD519D" w:rsidR="00872A4B" w:rsidRPr="00D120AC" w:rsidRDefault="00872A4B" w:rsidP="00B15BDB">
          <w:pPr>
            <w:widowControl w:val="0"/>
            <w:autoSpaceDE w:val="0"/>
            <w:autoSpaceDN w:val="0"/>
            <w:adjustRightInd w:val="0"/>
            <w:ind w:left="640" w:hanging="640"/>
            <w:rPr>
              <w:noProof/>
              <w:lang w:val="en-CA"/>
            </w:rPr>
          </w:pPr>
          <w:r w:rsidRPr="00D120AC">
            <w:rPr>
              <w:noProof/>
              <w:lang w:val="en-CA"/>
            </w:rPr>
            <w:t>[33]</w:t>
          </w:r>
          <w:r w:rsidRPr="00D120AC">
            <w:rPr>
              <w:noProof/>
              <w:lang w:val="en-CA"/>
            </w:rPr>
            <w:tab/>
            <w:t xml:space="preserve">M. Vogel, C. Herbers, and B. Koch, “Effects of </w:t>
          </w:r>
          <w:r w:rsidR="00AA0A73">
            <w:rPr>
              <w:noProof/>
              <w:lang w:val="en-CA"/>
            </w:rPr>
            <w:t>S</w:t>
          </w:r>
          <w:r w:rsidRPr="00D120AC">
            <w:rPr>
              <w:noProof/>
              <w:lang w:val="en-CA"/>
            </w:rPr>
            <w:t xml:space="preserve">alt and </w:t>
          </w:r>
          <w:r w:rsidR="00AA0A73">
            <w:rPr>
              <w:noProof/>
              <w:lang w:val="en-CA"/>
            </w:rPr>
            <w:t>N</w:t>
          </w:r>
          <w:r w:rsidRPr="00D120AC">
            <w:rPr>
              <w:noProof/>
              <w:lang w:val="en-CA"/>
            </w:rPr>
            <w:t xml:space="preserve">anoparticles on the </w:t>
          </w:r>
          <w:r w:rsidR="00AA0A73">
            <w:rPr>
              <w:noProof/>
              <w:lang w:val="en-CA"/>
            </w:rPr>
            <w:t>S</w:t>
          </w:r>
          <w:r w:rsidRPr="00D120AC">
            <w:rPr>
              <w:noProof/>
              <w:lang w:val="en-CA"/>
            </w:rPr>
            <w:t xml:space="preserve">egmental </w:t>
          </w:r>
          <w:r w:rsidR="00AA0A73">
            <w:rPr>
              <w:noProof/>
              <w:lang w:val="en-CA"/>
            </w:rPr>
            <w:t>M</w:t>
          </w:r>
          <w:r w:rsidRPr="00D120AC">
            <w:rPr>
              <w:noProof/>
              <w:lang w:val="en-CA"/>
            </w:rPr>
            <w:t xml:space="preserve">otion of </w:t>
          </w:r>
          <w:r w:rsidR="00AA0A73">
            <w:rPr>
              <w:noProof/>
              <w:lang w:val="en-CA"/>
            </w:rPr>
            <w:t>P</w:t>
          </w:r>
          <w:r w:rsidRPr="00D120AC">
            <w:rPr>
              <w:noProof/>
              <w:lang w:val="en-CA"/>
            </w:rPr>
            <w:t xml:space="preserve">olyethylene </w:t>
          </w:r>
          <w:r w:rsidR="00AA0A73">
            <w:rPr>
              <w:noProof/>
              <w:lang w:val="en-CA"/>
            </w:rPr>
            <w:t>O</w:t>
          </w:r>
          <w:r w:rsidRPr="00D120AC">
            <w:rPr>
              <w:noProof/>
              <w:lang w:val="en-CA"/>
            </w:rPr>
            <w:t xml:space="preserve">xide in its </w:t>
          </w:r>
          <w:r w:rsidR="00AA0A73">
            <w:rPr>
              <w:noProof/>
              <w:lang w:val="en-CA"/>
            </w:rPr>
            <w:t>C</w:t>
          </w:r>
          <w:r w:rsidRPr="00D120AC">
            <w:rPr>
              <w:noProof/>
              <w:lang w:val="en-CA"/>
            </w:rPr>
            <w:t xml:space="preserve">rystalline and </w:t>
          </w:r>
          <w:r w:rsidR="00AA0A73">
            <w:rPr>
              <w:noProof/>
              <w:lang w:val="en-CA"/>
            </w:rPr>
            <w:t>A</w:t>
          </w:r>
          <w:r w:rsidRPr="00D120AC">
            <w:rPr>
              <w:noProof/>
              <w:lang w:val="en-CA"/>
            </w:rPr>
            <w:t xml:space="preserve">morphous </w:t>
          </w:r>
          <w:r w:rsidR="00AA0A73">
            <w:rPr>
              <w:noProof/>
              <w:lang w:val="en-CA"/>
            </w:rPr>
            <w:t>P</w:t>
          </w:r>
          <w:r w:rsidRPr="00D120AC">
            <w:rPr>
              <w:noProof/>
              <w:lang w:val="en-CA"/>
            </w:rPr>
            <w:t>hases:</w:t>
          </w:r>
          <w:r w:rsidRPr="00AA0A73">
            <w:rPr>
              <w:noProof/>
              <w:vertAlign w:val="superscript"/>
              <w:lang w:val="en-CA"/>
            </w:rPr>
            <w:t>2</w:t>
          </w:r>
          <w:r w:rsidRPr="00D120AC">
            <w:rPr>
              <w:noProof/>
              <w:lang w:val="en-CA"/>
            </w:rPr>
            <w:t xml:space="preserve">H and </w:t>
          </w:r>
          <w:r w:rsidRPr="00AA0A73">
            <w:rPr>
              <w:noProof/>
              <w:vertAlign w:val="superscript"/>
              <w:lang w:val="en-CA"/>
            </w:rPr>
            <w:t>7</w:t>
          </w:r>
          <w:r w:rsidRPr="00D120AC">
            <w:rPr>
              <w:noProof/>
              <w:lang w:val="en-CA"/>
            </w:rPr>
            <w:t xml:space="preserve">Li NMR studies,” </w:t>
          </w:r>
          <w:r w:rsidRPr="00D120AC">
            <w:rPr>
              <w:i/>
              <w:iCs/>
              <w:noProof/>
              <w:lang w:val="en-CA"/>
            </w:rPr>
            <w:t>J. Phys. Chem. B</w:t>
          </w:r>
          <w:r w:rsidRPr="00D120AC">
            <w:rPr>
              <w:noProof/>
              <w:lang w:val="en-CA"/>
            </w:rPr>
            <w:t>, vol. 112, no. 36, pp. 11217–11226, 2008, doi: 10.1021/jp801775u.</w:t>
          </w:r>
        </w:p>
        <w:p w14:paraId="3A48FA05" w14:textId="2F3BB645" w:rsidR="00872A4B" w:rsidRPr="00D120AC" w:rsidRDefault="00872A4B" w:rsidP="00B15BDB">
          <w:pPr>
            <w:widowControl w:val="0"/>
            <w:autoSpaceDE w:val="0"/>
            <w:autoSpaceDN w:val="0"/>
            <w:adjustRightInd w:val="0"/>
            <w:ind w:left="640" w:hanging="640"/>
            <w:rPr>
              <w:noProof/>
              <w:lang w:val="en-CA"/>
            </w:rPr>
          </w:pPr>
          <w:r w:rsidRPr="00D120AC">
            <w:rPr>
              <w:noProof/>
              <w:lang w:val="en-CA"/>
            </w:rPr>
            <w:t>[34]</w:t>
          </w:r>
          <w:r w:rsidRPr="00D120AC">
            <w:rPr>
              <w:noProof/>
              <w:lang w:val="en-CA"/>
            </w:rPr>
            <w:tab/>
            <w:t xml:space="preserve">A. S. Best, J. Adebahr, P. Jacobsson, D. R. MacFarlane, and M. Forsyth, “Microscopic </w:t>
          </w:r>
          <w:r w:rsidR="00A407E5">
            <w:rPr>
              <w:noProof/>
              <w:lang w:val="en-CA"/>
            </w:rPr>
            <w:t>I</w:t>
          </w:r>
          <w:r w:rsidRPr="00D120AC">
            <w:rPr>
              <w:noProof/>
              <w:lang w:val="en-CA"/>
            </w:rPr>
            <w:t xml:space="preserve">nteractions in </w:t>
          </w:r>
          <w:r w:rsidR="00A407E5">
            <w:rPr>
              <w:noProof/>
              <w:lang w:val="en-CA"/>
            </w:rPr>
            <w:t>N</w:t>
          </w:r>
          <w:r w:rsidRPr="00D120AC">
            <w:rPr>
              <w:noProof/>
              <w:lang w:val="en-CA"/>
            </w:rPr>
            <w:t xml:space="preserve">anocomposite </w:t>
          </w:r>
          <w:r w:rsidR="00A407E5">
            <w:rPr>
              <w:noProof/>
              <w:lang w:val="en-CA"/>
            </w:rPr>
            <w:t>E</w:t>
          </w:r>
          <w:r w:rsidRPr="00D120AC">
            <w:rPr>
              <w:noProof/>
              <w:lang w:val="en-CA"/>
            </w:rPr>
            <w:t xml:space="preserve">lectrolytes,” </w:t>
          </w:r>
          <w:r w:rsidRPr="00D120AC">
            <w:rPr>
              <w:i/>
              <w:iCs/>
              <w:noProof/>
              <w:lang w:val="en-CA"/>
            </w:rPr>
            <w:t>Macromolecules</w:t>
          </w:r>
          <w:r w:rsidRPr="00D120AC">
            <w:rPr>
              <w:noProof/>
              <w:lang w:val="en-CA"/>
            </w:rPr>
            <w:t>, vol. 34, no. 13, pp. 4549–4555, 2001, doi: 10.1021/ma001837h.</w:t>
          </w:r>
        </w:p>
        <w:p w14:paraId="4DF03176" w14:textId="7D5C7506" w:rsidR="00625C4C" w:rsidRDefault="00872A4B" w:rsidP="00B15BDB">
          <w:pPr>
            <w:widowControl w:val="0"/>
            <w:autoSpaceDE w:val="0"/>
            <w:autoSpaceDN w:val="0"/>
            <w:adjustRightInd w:val="0"/>
            <w:ind w:left="640" w:hanging="640"/>
            <w:rPr>
              <w:noProof/>
              <w:lang w:val="en-CA"/>
            </w:rPr>
          </w:pPr>
          <w:r w:rsidRPr="00D120AC">
            <w:rPr>
              <w:noProof/>
              <w:lang w:val="en-CA"/>
            </w:rPr>
            <w:t>[35]</w:t>
          </w:r>
          <w:r w:rsidRPr="00D120AC">
            <w:rPr>
              <w:noProof/>
              <w:lang w:val="en-CA"/>
            </w:rPr>
            <w:tab/>
          </w:r>
          <w:r w:rsidR="007153C1" w:rsidRPr="00D120AC">
            <w:rPr>
              <w:color w:val="222222"/>
              <w:shd w:val="clear" w:color="auto" w:fill="FFFFFF"/>
              <w:lang w:val="en-CA"/>
            </w:rPr>
            <w:t>Lin, D., Yuen, P.Y., Liu, Y., Liu, W., Liu, N., Dauskardt, R.H. and Cui, Y.</w:t>
          </w:r>
          <w:r w:rsidRPr="00D120AC">
            <w:rPr>
              <w:noProof/>
              <w:lang w:val="en-CA"/>
            </w:rPr>
            <w:t xml:space="preserve">, “A Silica-Aerogel-Reinforced Composite Polymer Electrolyte with High Ionic Conductivity and High Modulus,” </w:t>
          </w:r>
          <w:r w:rsidRPr="00D120AC">
            <w:rPr>
              <w:i/>
              <w:iCs/>
              <w:noProof/>
              <w:lang w:val="en-CA"/>
            </w:rPr>
            <w:t>Adv. Mater.</w:t>
          </w:r>
          <w:r w:rsidRPr="00D120AC">
            <w:rPr>
              <w:noProof/>
              <w:lang w:val="en-CA"/>
            </w:rPr>
            <w:t>, vol. 30, no. 32, 2018, doi: 10.1002/adma.201802661.</w:t>
          </w:r>
        </w:p>
        <w:p w14:paraId="11ABB882" w14:textId="21588F9A" w:rsidR="00625C4C" w:rsidRPr="0033789F" w:rsidRDefault="00625C4C" w:rsidP="00B15BDB">
          <w:pPr>
            <w:ind w:left="640" w:hanging="640"/>
            <w:rPr>
              <w:color w:val="222222"/>
              <w:shd w:val="clear" w:color="auto" w:fill="FFFFFF"/>
              <w:lang w:val="en-CA"/>
            </w:rPr>
          </w:pPr>
          <w:r w:rsidRPr="00625C4C">
            <w:rPr>
              <w:color w:val="222222"/>
              <w:shd w:val="clear" w:color="auto" w:fill="FFFFFF"/>
              <w:lang w:val="en-CA"/>
            </w:rPr>
            <w:t xml:space="preserve">[36] </w:t>
          </w:r>
          <w:r>
            <w:rPr>
              <w:color w:val="222222"/>
              <w:shd w:val="clear" w:color="auto" w:fill="FFFFFF"/>
              <w:lang w:val="en-CA"/>
            </w:rPr>
            <w:tab/>
          </w:r>
          <w:r w:rsidR="0033789F" w:rsidRPr="0033789F">
            <w:rPr>
              <w:color w:val="222222"/>
              <w:shd w:val="clear" w:color="auto" w:fill="FFFFFF"/>
              <w:lang w:val="en-CA"/>
            </w:rPr>
            <w:t xml:space="preserve">Elmore, Clay T., Morgan E. Seidler, Hunter O. Ford, Laura C. Merrill, Sunil P. Upadhyay, William F. Schneider, and Jennifer L. Schaefer. "Ion </w:t>
          </w:r>
          <w:r w:rsidR="00A407E5">
            <w:rPr>
              <w:color w:val="222222"/>
              <w:shd w:val="clear" w:color="auto" w:fill="FFFFFF"/>
              <w:lang w:val="en-CA"/>
            </w:rPr>
            <w:t>T</w:t>
          </w:r>
          <w:r w:rsidR="0033789F" w:rsidRPr="0033789F">
            <w:rPr>
              <w:color w:val="222222"/>
              <w:shd w:val="clear" w:color="auto" w:fill="FFFFFF"/>
              <w:lang w:val="en-CA"/>
            </w:rPr>
            <w:t xml:space="preserve">ransport in </w:t>
          </w:r>
          <w:r w:rsidR="00A407E5">
            <w:rPr>
              <w:color w:val="222222"/>
              <w:shd w:val="clear" w:color="auto" w:fill="FFFFFF"/>
              <w:lang w:val="en-CA"/>
            </w:rPr>
            <w:t>S</w:t>
          </w:r>
          <w:r w:rsidR="0033789F" w:rsidRPr="0033789F">
            <w:rPr>
              <w:color w:val="222222"/>
              <w:shd w:val="clear" w:color="auto" w:fill="FFFFFF"/>
              <w:lang w:val="en-CA"/>
            </w:rPr>
            <w:t>olvent-</w:t>
          </w:r>
          <w:r w:rsidR="00A407E5">
            <w:rPr>
              <w:color w:val="222222"/>
              <w:shd w:val="clear" w:color="auto" w:fill="FFFFFF"/>
              <w:lang w:val="en-CA"/>
            </w:rPr>
            <w:t>F</w:t>
          </w:r>
          <w:r w:rsidR="0033789F" w:rsidRPr="0033789F">
            <w:rPr>
              <w:color w:val="222222"/>
              <w:shd w:val="clear" w:color="auto" w:fill="FFFFFF"/>
              <w:lang w:val="en-CA"/>
            </w:rPr>
            <w:t xml:space="preserve">ree, </w:t>
          </w:r>
          <w:r w:rsidR="00A407E5">
            <w:rPr>
              <w:color w:val="222222"/>
              <w:shd w:val="clear" w:color="auto" w:fill="FFFFFF"/>
              <w:lang w:val="en-CA"/>
            </w:rPr>
            <w:t>C</w:t>
          </w:r>
          <w:r w:rsidR="0033789F" w:rsidRPr="0033789F">
            <w:rPr>
              <w:color w:val="222222"/>
              <w:shd w:val="clear" w:color="auto" w:fill="FFFFFF"/>
              <w:lang w:val="en-CA"/>
            </w:rPr>
            <w:t xml:space="preserve">rosslinked, </w:t>
          </w:r>
          <w:r w:rsidR="00A407E5">
            <w:rPr>
              <w:color w:val="222222"/>
              <w:shd w:val="clear" w:color="auto" w:fill="FFFFFF"/>
              <w:lang w:val="en-CA"/>
            </w:rPr>
            <w:t>S</w:t>
          </w:r>
          <w:r w:rsidR="0033789F" w:rsidRPr="0033789F">
            <w:rPr>
              <w:color w:val="222222"/>
              <w:shd w:val="clear" w:color="auto" w:fill="FFFFFF"/>
              <w:lang w:val="en-CA"/>
            </w:rPr>
            <w:t>ingle-</w:t>
          </w:r>
          <w:r w:rsidR="00A407E5">
            <w:rPr>
              <w:color w:val="222222"/>
              <w:shd w:val="clear" w:color="auto" w:fill="FFFFFF"/>
              <w:lang w:val="en-CA"/>
            </w:rPr>
            <w:t>I</w:t>
          </w:r>
          <w:r w:rsidR="0033789F" w:rsidRPr="0033789F">
            <w:rPr>
              <w:color w:val="222222"/>
              <w:shd w:val="clear" w:color="auto" w:fill="FFFFFF"/>
              <w:lang w:val="en-CA"/>
            </w:rPr>
            <w:t xml:space="preserve">on </w:t>
          </w:r>
          <w:r w:rsidR="00A407E5">
            <w:rPr>
              <w:color w:val="222222"/>
              <w:shd w:val="clear" w:color="auto" w:fill="FFFFFF"/>
              <w:lang w:val="en-CA"/>
            </w:rPr>
            <w:t>C</w:t>
          </w:r>
          <w:r w:rsidR="0033789F" w:rsidRPr="0033789F">
            <w:rPr>
              <w:color w:val="222222"/>
              <w:shd w:val="clear" w:color="auto" w:fill="FFFFFF"/>
              <w:lang w:val="en-CA"/>
            </w:rPr>
            <w:t xml:space="preserve">onducting </w:t>
          </w:r>
          <w:r w:rsidR="00A407E5">
            <w:rPr>
              <w:color w:val="222222"/>
              <w:shd w:val="clear" w:color="auto" w:fill="FFFFFF"/>
              <w:lang w:val="en-CA"/>
            </w:rPr>
            <w:t>P</w:t>
          </w:r>
          <w:r w:rsidR="0033789F" w:rsidRPr="0033789F">
            <w:rPr>
              <w:color w:val="222222"/>
              <w:shd w:val="clear" w:color="auto" w:fill="FFFFFF"/>
              <w:lang w:val="en-CA"/>
            </w:rPr>
            <w:t xml:space="preserve">olymer </w:t>
          </w:r>
          <w:r w:rsidR="00A407E5">
            <w:rPr>
              <w:color w:val="222222"/>
              <w:shd w:val="clear" w:color="auto" w:fill="FFFFFF"/>
              <w:lang w:val="en-CA"/>
            </w:rPr>
            <w:t>E</w:t>
          </w:r>
          <w:r w:rsidR="0033789F" w:rsidRPr="0033789F">
            <w:rPr>
              <w:color w:val="222222"/>
              <w:shd w:val="clear" w:color="auto" w:fill="FFFFFF"/>
              <w:lang w:val="en-CA"/>
            </w:rPr>
            <w:t xml:space="preserve">lectrolytes for </w:t>
          </w:r>
          <w:r w:rsidR="00A407E5">
            <w:rPr>
              <w:color w:val="222222"/>
              <w:shd w:val="clear" w:color="auto" w:fill="FFFFFF"/>
              <w:lang w:val="en-CA"/>
            </w:rPr>
            <w:t>P</w:t>
          </w:r>
          <w:r w:rsidR="0033789F" w:rsidRPr="0033789F">
            <w:rPr>
              <w:color w:val="222222"/>
              <w:shd w:val="clear" w:color="auto" w:fill="FFFFFF"/>
              <w:lang w:val="en-CA"/>
            </w:rPr>
            <w:t>ost-</w:t>
          </w:r>
          <w:proofErr w:type="gramStart"/>
          <w:r w:rsidR="00A407E5">
            <w:rPr>
              <w:color w:val="222222"/>
              <w:shd w:val="clear" w:color="auto" w:fill="FFFFFF"/>
              <w:lang w:val="en-CA"/>
            </w:rPr>
            <w:t>L</w:t>
          </w:r>
          <w:r w:rsidR="0033789F" w:rsidRPr="0033789F">
            <w:rPr>
              <w:color w:val="222222"/>
              <w:shd w:val="clear" w:color="auto" w:fill="FFFFFF"/>
              <w:lang w:val="en-CA"/>
            </w:rPr>
            <w:t xml:space="preserve">ithium </w:t>
          </w:r>
          <w:r w:rsidR="00A407E5">
            <w:rPr>
              <w:color w:val="222222"/>
              <w:shd w:val="clear" w:color="auto" w:fill="FFFFFF"/>
              <w:lang w:val="en-CA"/>
            </w:rPr>
            <w:t>I</w:t>
          </w:r>
          <w:r w:rsidR="0033789F" w:rsidRPr="0033789F">
            <w:rPr>
              <w:color w:val="222222"/>
              <w:shd w:val="clear" w:color="auto" w:fill="FFFFFF"/>
              <w:lang w:val="en-CA"/>
            </w:rPr>
            <w:t>on</w:t>
          </w:r>
          <w:proofErr w:type="gramEnd"/>
          <w:r w:rsidR="0033789F" w:rsidRPr="0033789F">
            <w:rPr>
              <w:color w:val="222222"/>
              <w:shd w:val="clear" w:color="auto" w:fill="FFFFFF"/>
              <w:lang w:val="en-CA"/>
            </w:rPr>
            <w:t xml:space="preserve"> </w:t>
          </w:r>
          <w:r w:rsidR="00A407E5">
            <w:rPr>
              <w:color w:val="222222"/>
              <w:shd w:val="clear" w:color="auto" w:fill="FFFFFF"/>
              <w:lang w:val="en-CA"/>
            </w:rPr>
            <w:t>B</w:t>
          </w:r>
          <w:r w:rsidR="0033789F" w:rsidRPr="0033789F">
            <w:rPr>
              <w:color w:val="222222"/>
              <w:shd w:val="clear" w:color="auto" w:fill="FFFFFF"/>
              <w:lang w:val="en-CA"/>
            </w:rPr>
            <w:t>atteries."</w:t>
          </w:r>
          <w:r>
            <w:rPr>
              <w:color w:val="222222"/>
              <w:shd w:val="clear" w:color="auto" w:fill="FFFFFF"/>
              <w:lang w:val="en-CA"/>
            </w:rPr>
            <w:t xml:space="preserve"> </w:t>
          </w:r>
          <w:r w:rsidR="0033789F" w:rsidRPr="0033789F">
            <w:rPr>
              <w:i/>
              <w:iCs/>
              <w:color w:val="222222"/>
              <w:shd w:val="clear" w:color="auto" w:fill="FFFFFF"/>
              <w:lang w:val="en-CA"/>
            </w:rPr>
            <w:t>Batteries</w:t>
          </w:r>
          <w:r>
            <w:rPr>
              <w:color w:val="222222"/>
              <w:shd w:val="clear" w:color="auto" w:fill="FFFFFF"/>
              <w:lang w:val="en-CA"/>
            </w:rPr>
            <w:t xml:space="preserve"> </w:t>
          </w:r>
          <w:proofErr w:type="gramStart"/>
          <w:r w:rsidR="0033789F" w:rsidRPr="0033789F">
            <w:rPr>
              <w:color w:val="222222"/>
              <w:shd w:val="clear" w:color="auto" w:fill="FFFFFF"/>
              <w:lang w:val="en-CA"/>
            </w:rPr>
            <w:t>4</w:t>
          </w:r>
          <w:proofErr w:type="gramEnd"/>
          <w:r w:rsidR="0033789F" w:rsidRPr="0033789F">
            <w:rPr>
              <w:color w:val="222222"/>
              <w:shd w:val="clear" w:color="auto" w:fill="FFFFFF"/>
              <w:lang w:val="en-CA"/>
            </w:rPr>
            <w:t>, no. 2 (2018): 28.</w:t>
          </w:r>
        </w:p>
        <w:p w14:paraId="568208F4" w14:textId="29AC733D" w:rsidR="00625C4C" w:rsidRPr="00625C4C" w:rsidRDefault="00625C4C" w:rsidP="00B15BDB">
          <w:pPr>
            <w:ind w:left="640" w:hanging="640"/>
            <w:rPr>
              <w:lang w:val="en-CA"/>
            </w:rPr>
          </w:pPr>
          <w:r w:rsidRPr="00625C4C">
            <w:rPr>
              <w:color w:val="222222"/>
              <w:shd w:val="clear" w:color="auto" w:fill="FFFFFF"/>
              <w:lang w:val="en-CA"/>
            </w:rPr>
            <w:t xml:space="preserve">[37] </w:t>
          </w:r>
          <w:r>
            <w:rPr>
              <w:color w:val="222222"/>
              <w:shd w:val="clear" w:color="auto" w:fill="FFFFFF"/>
              <w:lang w:val="en-CA"/>
            </w:rPr>
            <w:tab/>
          </w:r>
          <w:r w:rsidRPr="00625C4C">
            <w:rPr>
              <w:color w:val="222222"/>
              <w:shd w:val="clear" w:color="auto" w:fill="FFFFFF"/>
              <w:lang w:val="en-CA"/>
            </w:rPr>
            <w:t xml:space="preserve">Liu, Meng, Yue Wang, Meng Li, Guangqi Li, Bin Li, Songtong Zhang, Hai Ming, Jingyi Qiu, Junhong Chen, and Pengcheng Zhao. "A </w:t>
          </w:r>
          <w:r w:rsidR="00A407E5">
            <w:rPr>
              <w:color w:val="222222"/>
              <w:shd w:val="clear" w:color="auto" w:fill="FFFFFF"/>
              <w:lang w:val="en-CA"/>
            </w:rPr>
            <w:t>N</w:t>
          </w:r>
          <w:r w:rsidRPr="00625C4C">
            <w:rPr>
              <w:color w:val="222222"/>
              <w:shd w:val="clear" w:color="auto" w:fill="FFFFFF"/>
              <w:lang w:val="en-CA"/>
            </w:rPr>
            <w:t xml:space="preserve">ew </w:t>
          </w:r>
          <w:r w:rsidR="00A407E5">
            <w:rPr>
              <w:color w:val="222222"/>
              <w:shd w:val="clear" w:color="auto" w:fill="FFFFFF"/>
              <w:lang w:val="en-CA"/>
            </w:rPr>
            <w:t>C</w:t>
          </w:r>
          <w:r w:rsidRPr="00625C4C">
            <w:rPr>
              <w:color w:val="222222"/>
              <w:shd w:val="clear" w:color="auto" w:fill="FFFFFF"/>
              <w:lang w:val="en-CA"/>
            </w:rPr>
            <w:t xml:space="preserve">omposite </w:t>
          </w:r>
          <w:r w:rsidR="00A407E5">
            <w:rPr>
              <w:color w:val="222222"/>
              <w:shd w:val="clear" w:color="auto" w:fill="FFFFFF"/>
              <w:lang w:val="en-CA"/>
            </w:rPr>
            <w:t>G</w:t>
          </w:r>
          <w:r w:rsidRPr="00625C4C">
            <w:rPr>
              <w:color w:val="222222"/>
              <w:shd w:val="clear" w:color="auto" w:fill="FFFFFF"/>
              <w:lang w:val="en-CA"/>
            </w:rPr>
            <w:t xml:space="preserve">el </w:t>
          </w:r>
          <w:r w:rsidR="00A407E5">
            <w:rPr>
              <w:color w:val="222222"/>
              <w:shd w:val="clear" w:color="auto" w:fill="FFFFFF"/>
              <w:lang w:val="en-CA"/>
            </w:rPr>
            <w:t>P</w:t>
          </w:r>
          <w:r w:rsidRPr="00625C4C">
            <w:rPr>
              <w:color w:val="222222"/>
              <w:shd w:val="clear" w:color="auto" w:fill="FFFFFF"/>
              <w:lang w:val="en-CA"/>
            </w:rPr>
            <w:t xml:space="preserve">olymer </w:t>
          </w:r>
          <w:r w:rsidR="00A407E5">
            <w:rPr>
              <w:color w:val="222222"/>
              <w:shd w:val="clear" w:color="auto" w:fill="FFFFFF"/>
              <w:lang w:val="en-CA"/>
            </w:rPr>
            <w:t>E</w:t>
          </w:r>
          <w:r w:rsidRPr="00625C4C">
            <w:rPr>
              <w:color w:val="222222"/>
              <w:shd w:val="clear" w:color="auto" w:fill="FFFFFF"/>
              <w:lang w:val="en-CA"/>
            </w:rPr>
            <w:t xml:space="preserve">lectrolyte </w:t>
          </w:r>
          <w:r w:rsidR="00A407E5">
            <w:rPr>
              <w:color w:val="222222"/>
              <w:shd w:val="clear" w:color="auto" w:fill="FFFFFF"/>
              <w:lang w:val="en-CA"/>
            </w:rPr>
            <w:t>B</w:t>
          </w:r>
          <w:r w:rsidRPr="00625C4C">
            <w:rPr>
              <w:color w:val="222222"/>
              <w:shd w:val="clear" w:color="auto" w:fill="FFFFFF"/>
              <w:lang w:val="en-CA"/>
            </w:rPr>
            <w:t xml:space="preserve">ased on </w:t>
          </w:r>
          <w:r w:rsidR="00A407E5">
            <w:rPr>
              <w:color w:val="222222"/>
              <w:shd w:val="clear" w:color="auto" w:fill="FFFFFF"/>
              <w:lang w:val="en-CA"/>
            </w:rPr>
            <w:t>M</w:t>
          </w:r>
          <w:r w:rsidRPr="00625C4C">
            <w:rPr>
              <w:color w:val="222222"/>
              <w:shd w:val="clear" w:color="auto" w:fill="FFFFFF"/>
              <w:lang w:val="en-CA"/>
            </w:rPr>
            <w:t xml:space="preserve">atrix of PEGDA </w:t>
          </w:r>
          <w:r w:rsidR="00A407E5">
            <w:rPr>
              <w:color w:val="222222"/>
              <w:shd w:val="clear" w:color="auto" w:fill="FFFFFF"/>
              <w:lang w:val="en-CA"/>
            </w:rPr>
            <w:t>W</w:t>
          </w:r>
          <w:r w:rsidRPr="00625C4C">
            <w:rPr>
              <w:color w:val="222222"/>
              <w:shd w:val="clear" w:color="auto" w:fill="FFFFFF"/>
              <w:lang w:val="en-CA"/>
            </w:rPr>
            <w:t xml:space="preserve">ith </w:t>
          </w:r>
          <w:r w:rsidR="00A407E5">
            <w:rPr>
              <w:color w:val="222222"/>
              <w:shd w:val="clear" w:color="auto" w:fill="FFFFFF"/>
              <w:lang w:val="en-CA"/>
            </w:rPr>
            <w:t>H</w:t>
          </w:r>
          <w:r w:rsidRPr="00625C4C">
            <w:rPr>
              <w:color w:val="222222"/>
              <w:shd w:val="clear" w:color="auto" w:fill="FFFFFF"/>
              <w:lang w:val="en-CA"/>
            </w:rPr>
            <w:t xml:space="preserve">igh </w:t>
          </w:r>
          <w:r w:rsidR="00A407E5">
            <w:rPr>
              <w:color w:val="222222"/>
              <w:shd w:val="clear" w:color="auto" w:fill="FFFFFF"/>
              <w:lang w:val="en-CA"/>
            </w:rPr>
            <w:t>I</w:t>
          </w:r>
          <w:r w:rsidRPr="00625C4C">
            <w:rPr>
              <w:color w:val="222222"/>
              <w:shd w:val="clear" w:color="auto" w:fill="FFFFFF"/>
              <w:lang w:val="en-CA"/>
            </w:rPr>
            <w:t xml:space="preserve">onic </w:t>
          </w:r>
          <w:r w:rsidR="00A407E5">
            <w:rPr>
              <w:color w:val="222222"/>
              <w:shd w:val="clear" w:color="auto" w:fill="FFFFFF"/>
              <w:lang w:val="en-CA"/>
            </w:rPr>
            <w:t>C</w:t>
          </w:r>
          <w:r w:rsidRPr="00625C4C">
            <w:rPr>
              <w:color w:val="222222"/>
              <w:shd w:val="clear" w:color="auto" w:fill="FFFFFF"/>
              <w:lang w:val="en-CA"/>
            </w:rPr>
            <w:t xml:space="preserve">onductivity for </w:t>
          </w:r>
          <w:r w:rsidR="00A407E5">
            <w:rPr>
              <w:color w:val="222222"/>
              <w:shd w:val="clear" w:color="auto" w:fill="FFFFFF"/>
              <w:lang w:val="en-CA"/>
            </w:rPr>
            <w:t>L</w:t>
          </w:r>
          <w:r w:rsidRPr="00625C4C">
            <w:rPr>
              <w:color w:val="222222"/>
              <w:shd w:val="clear" w:color="auto" w:fill="FFFFFF"/>
              <w:lang w:val="en-CA"/>
            </w:rPr>
            <w:t>ithium-</w:t>
          </w:r>
          <w:r w:rsidR="00A407E5">
            <w:rPr>
              <w:color w:val="222222"/>
              <w:shd w:val="clear" w:color="auto" w:fill="FFFFFF"/>
              <w:lang w:val="en-CA"/>
            </w:rPr>
            <w:t>I</w:t>
          </w:r>
          <w:r w:rsidRPr="00625C4C">
            <w:rPr>
              <w:color w:val="222222"/>
              <w:shd w:val="clear" w:color="auto" w:fill="FFFFFF"/>
              <w:lang w:val="en-CA"/>
            </w:rPr>
            <w:t xml:space="preserve">on </w:t>
          </w:r>
          <w:r w:rsidR="00A407E5">
            <w:rPr>
              <w:color w:val="222222"/>
              <w:shd w:val="clear" w:color="auto" w:fill="FFFFFF"/>
              <w:lang w:val="en-CA"/>
            </w:rPr>
            <w:t>B</w:t>
          </w:r>
          <w:r w:rsidRPr="00625C4C">
            <w:rPr>
              <w:color w:val="222222"/>
              <w:shd w:val="clear" w:color="auto" w:fill="FFFFFF"/>
              <w:lang w:val="en-CA"/>
            </w:rPr>
            <w:t>atteries."</w:t>
          </w:r>
          <w:r>
            <w:rPr>
              <w:color w:val="222222"/>
              <w:shd w:val="clear" w:color="auto" w:fill="FFFFFF"/>
              <w:lang w:val="en-CA"/>
            </w:rPr>
            <w:t xml:space="preserve"> </w:t>
          </w:r>
          <w:r w:rsidRPr="00625C4C">
            <w:rPr>
              <w:i/>
              <w:iCs/>
              <w:color w:val="222222"/>
              <w:shd w:val="clear" w:color="auto" w:fill="FFFFFF"/>
              <w:lang w:val="en-CA"/>
            </w:rPr>
            <w:t>Electrochimica Acta</w:t>
          </w:r>
          <w:r>
            <w:rPr>
              <w:color w:val="222222"/>
              <w:shd w:val="clear" w:color="auto" w:fill="FFFFFF"/>
              <w:lang w:val="en-CA"/>
            </w:rPr>
            <w:t xml:space="preserve"> </w:t>
          </w:r>
          <w:r w:rsidRPr="00625C4C">
            <w:rPr>
              <w:color w:val="222222"/>
              <w:shd w:val="clear" w:color="auto" w:fill="FFFFFF"/>
              <w:lang w:val="en-CA"/>
            </w:rPr>
            <w:t>354 (2020): 136622.</w:t>
          </w:r>
        </w:p>
        <w:p w14:paraId="1B5AB859" w14:textId="224B6D15" w:rsidR="00872A4B" w:rsidRPr="00D120AC" w:rsidRDefault="00872A4B" w:rsidP="00B15BDB">
          <w:pPr>
            <w:widowControl w:val="0"/>
            <w:autoSpaceDE w:val="0"/>
            <w:autoSpaceDN w:val="0"/>
            <w:adjustRightInd w:val="0"/>
            <w:ind w:left="640" w:hanging="640"/>
            <w:rPr>
              <w:noProof/>
              <w:lang w:val="en-CA"/>
            </w:rPr>
          </w:pPr>
          <w:r w:rsidRPr="00D120AC">
            <w:rPr>
              <w:noProof/>
              <w:lang w:val="en-CA"/>
            </w:rPr>
            <w:t>[3</w:t>
          </w:r>
          <w:r w:rsidR="004768BC">
            <w:rPr>
              <w:noProof/>
              <w:lang w:val="en-CA"/>
            </w:rPr>
            <w:t>8</w:t>
          </w:r>
          <w:r w:rsidRPr="00D120AC">
            <w:rPr>
              <w:noProof/>
              <w:lang w:val="en-CA"/>
            </w:rPr>
            <w:t>]</w:t>
          </w:r>
          <w:r w:rsidRPr="00D120AC">
            <w:rPr>
              <w:noProof/>
              <w:lang w:val="en-CA"/>
            </w:rPr>
            <w:tab/>
            <w:t xml:space="preserve">B. S. Lalia, Y. A. Samad, and R. Hashaikeh, “Nanocrystalline </w:t>
          </w:r>
          <w:r w:rsidR="00A407E5" w:rsidRPr="00D120AC">
            <w:rPr>
              <w:noProof/>
              <w:lang w:val="en-CA"/>
            </w:rPr>
            <w:t xml:space="preserve">Cellulose-Reinforced Composite Mats </w:t>
          </w:r>
          <w:r w:rsidR="00A407E5">
            <w:rPr>
              <w:noProof/>
              <w:lang w:val="en-CA"/>
            </w:rPr>
            <w:t>f</w:t>
          </w:r>
          <w:r w:rsidR="00A407E5" w:rsidRPr="00D120AC">
            <w:rPr>
              <w:noProof/>
              <w:lang w:val="en-CA"/>
            </w:rPr>
            <w:t xml:space="preserve">or Lithium-Ion Batteries: </w:t>
          </w:r>
          <w:r w:rsidRPr="00D120AC">
            <w:rPr>
              <w:noProof/>
              <w:lang w:val="en-CA"/>
            </w:rPr>
            <w:t xml:space="preserve">Electrochemical </w:t>
          </w:r>
          <w:r w:rsidR="00A407E5">
            <w:rPr>
              <w:noProof/>
              <w:lang w:val="en-CA"/>
            </w:rPr>
            <w:t>a</w:t>
          </w:r>
          <w:r w:rsidR="00A407E5" w:rsidRPr="00D120AC">
            <w:rPr>
              <w:noProof/>
              <w:lang w:val="en-CA"/>
            </w:rPr>
            <w:t>nd Thermomechanical Performance</w:t>
          </w:r>
          <w:r w:rsidRPr="00D120AC">
            <w:rPr>
              <w:noProof/>
              <w:lang w:val="en-CA"/>
            </w:rPr>
            <w:t xml:space="preserve">,” </w:t>
          </w:r>
          <w:r w:rsidRPr="00D120AC">
            <w:rPr>
              <w:i/>
              <w:iCs/>
              <w:noProof/>
              <w:lang w:val="en-CA"/>
            </w:rPr>
            <w:t>J. Solid State Electrochem.</w:t>
          </w:r>
          <w:r w:rsidRPr="00D120AC">
            <w:rPr>
              <w:noProof/>
              <w:lang w:val="en-CA"/>
            </w:rPr>
            <w:t>, vol. 17, no. 3, pp. 575–581, 2013, doi: 10.1007/s10008-012-1894-1.</w:t>
          </w:r>
        </w:p>
        <w:p w14:paraId="025EE64F" w14:textId="37EDE9DD" w:rsidR="00872A4B" w:rsidRPr="00D120AC" w:rsidRDefault="00872A4B" w:rsidP="00B15BDB">
          <w:pPr>
            <w:widowControl w:val="0"/>
            <w:autoSpaceDE w:val="0"/>
            <w:autoSpaceDN w:val="0"/>
            <w:adjustRightInd w:val="0"/>
            <w:ind w:left="640" w:hanging="640"/>
            <w:rPr>
              <w:noProof/>
              <w:lang w:val="en-CA"/>
            </w:rPr>
          </w:pPr>
          <w:r w:rsidRPr="00D120AC">
            <w:rPr>
              <w:noProof/>
              <w:lang w:val="en-CA"/>
            </w:rPr>
            <w:lastRenderedPageBreak/>
            <w:t>[3</w:t>
          </w:r>
          <w:r w:rsidR="004768BC">
            <w:rPr>
              <w:noProof/>
              <w:lang w:val="en-CA"/>
            </w:rPr>
            <w:t>9</w:t>
          </w:r>
          <w:r w:rsidRPr="00D120AC">
            <w:rPr>
              <w:noProof/>
              <w:lang w:val="en-CA"/>
            </w:rPr>
            <w:t>]</w:t>
          </w:r>
          <w:r w:rsidRPr="00D120AC">
            <w:rPr>
              <w:noProof/>
              <w:lang w:val="en-CA"/>
            </w:rPr>
            <w:tab/>
            <w:t xml:space="preserve">X. Xu, F. Liu, L. Jiang, J. Y. Zhu, D. Haagenson, and D. P. Wiesenborn, “Cellulose </w:t>
          </w:r>
          <w:r w:rsidR="00A407E5">
            <w:rPr>
              <w:noProof/>
              <w:lang w:val="en-CA"/>
            </w:rPr>
            <w:t>N</w:t>
          </w:r>
          <w:r w:rsidRPr="00D120AC">
            <w:rPr>
              <w:noProof/>
              <w:lang w:val="en-CA"/>
            </w:rPr>
            <w:t xml:space="preserve">anocrystals vs. Cellulose </w:t>
          </w:r>
          <w:r w:rsidR="00A407E5">
            <w:rPr>
              <w:noProof/>
              <w:lang w:val="en-CA"/>
            </w:rPr>
            <w:t>N</w:t>
          </w:r>
          <w:r w:rsidRPr="00D120AC">
            <w:rPr>
              <w:noProof/>
              <w:lang w:val="en-CA"/>
            </w:rPr>
            <w:t xml:space="preserve">anofibrils: A </w:t>
          </w:r>
          <w:r w:rsidR="00A407E5">
            <w:rPr>
              <w:noProof/>
              <w:lang w:val="en-CA"/>
            </w:rPr>
            <w:t>C</w:t>
          </w:r>
          <w:r w:rsidRPr="00D120AC">
            <w:rPr>
              <w:noProof/>
              <w:lang w:val="en-CA"/>
            </w:rPr>
            <w:t xml:space="preserve">omparative </w:t>
          </w:r>
          <w:r w:rsidR="00A407E5">
            <w:rPr>
              <w:noProof/>
              <w:lang w:val="en-CA"/>
            </w:rPr>
            <w:t>S</w:t>
          </w:r>
          <w:r w:rsidRPr="00D120AC">
            <w:rPr>
              <w:noProof/>
              <w:lang w:val="en-CA"/>
            </w:rPr>
            <w:t xml:space="preserve">tudy on </w:t>
          </w:r>
          <w:r w:rsidR="00A407E5">
            <w:rPr>
              <w:noProof/>
              <w:lang w:val="en-CA"/>
            </w:rPr>
            <w:t>T</w:t>
          </w:r>
          <w:r w:rsidRPr="00D120AC">
            <w:rPr>
              <w:noProof/>
              <w:lang w:val="en-CA"/>
            </w:rPr>
            <w:t xml:space="preserve">heir </w:t>
          </w:r>
          <w:r w:rsidR="00A407E5">
            <w:rPr>
              <w:noProof/>
              <w:lang w:val="en-CA"/>
            </w:rPr>
            <w:t>M</w:t>
          </w:r>
          <w:r w:rsidRPr="00D120AC">
            <w:rPr>
              <w:noProof/>
              <w:lang w:val="en-CA"/>
            </w:rPr>
            <w:t xml:space="preserve">icrostructures and </w:t>
          </w:r>
          <w:r w:rsidR="00A407E5">
            <w:rPr>
              <w:noProof/>
              <w:lang w:val="en-CA"/>
            </w:rPr>
            <w:t>E</w:t>
          </w:r>
          <w:r w:rsidRPr="00D120AC">
            <w:rPr>
              <w:noProof/>
              <w:lang w:val="en-CA"/>
            </w:rPr>
            <w:t xml:space="preserve">ffects as </w:t>
          </w:r>
          <w:r w:rsidR="00A407E5">
            <w:rPr>
              <w:noProof/>
              <w:lang w:val="en-CA"/>
            </w:rPr>
            <w:t>P</w:t>
          </w:r>
          <w:r w:rsidRPr="00D120AC">
            <w:rPr>
              <w:noProof/>
              <w:lang w:val="en-CA"/>
            </w:rPr>
            <w:t xml:space="preserve">olymer </w:t>
          </w:r>
          <w:r w:rsidR="00A407E5">
            <w:rPr>
              <w:noProof/>
              <w:lang w:val="en-CA"/>
            </w:rPr>
            <w:t>R</w:t>
          </w:r>
          <w:r w:rsidRPr="00D120AC">
            <w:rPr>
              <w:noProof/>
              <w:lang w:val="en-CA"/>
            </w:rPr>
            <w:t xml:space="preserve">einforcing </w:t>
          </w:r>
          <w:r w:rsidR="00A407E5">
            <w:rPr>
              <w:noProof/>
              <w:lang w:val="en-CA"/>
            </w:rPr>
            <w:t>A</w:t>
          </w:r>
          <w:r w:rsidRPr="00D120AC">
            <w:rPr>
              <w:noProof/>
              <w:lang w:val="en-CA"/>
            </w:rPr>
            <w:t xml:space="preserve">gents,” </w:t>
          </w:r>
          <w:r w:rsidRPr="00D120AC">
            <w:rPr>
              <w:i/>
              <w:iCs/>
              <w:noProof/>
              <w:lang w:val="en-CA"/>
            </w:rPr>
            <w:t>ACS Appl. Mater. Interfaces</w:t>
          </w:r>
          <w:r w:rsidRPr="00D120AC">
            <w:rPr>
              <w:noProof/>
              <w:lang w:val="en-CA"/>
            </w:rPr>
            <w:t>, vol. 5, no. 8, pp. 2999–3009, 2013, doi: 10.1021/am302624t.</w:t>
          </w:r>
        </w:p>
        <w:p w14:paraId="0DB60C1D" w14:textId="4B1B3A4E" w:rsidR="00872A4B" w:rsidRPr="00D120AC" w:rsidRDefault="00872A4B" w:rsidP="00B15BDB">
          <w:pPr>
            <w:widowControl w:val="0"/>
            <w:autoSpaceDE w:val="0"/>
            <w:autoSpaceDN w:val="0"/>
            <w:adjustRightInd w:val="0"/>
            <w:ind w:left="640" w:hanging="640"/>
            <w:rPr>
              <w:noProof/>
              <w:lang w:val="en-CA"/>
            </w:rPr>
          </w:pPr>
          <w:r w:rsidRPr="00D120AC">
            <w:rPr>
              <w:noProof/>
              <w:lang w:val="en-CA"/>
            </w:rPr>
            <w:t>[</w:t>
          </w:r>
          <w:r w:rsidR="004768BC">
            <w:rPr>
              <w:noProof/>
              <w:lang w:val="en-CA"/>
            </w:rPr>
            <w:t>40</w:t>
          </w:r>
          <w:r w:rsidRPr="00D120AC">
            <w:rPr>
              <w:noProof/>
              <w:lang w:val="en-CA"/>
            </w:rPr>
            <w:t>]</w:t>
          </w:r>
          <w:r w:rsidRPr="00D120AC">
            <w:rPr>
              <w:noProof/>
              <w:lang w:val="en-CA"/>
            </w:rPr>
            <w:tab/>
          </w:r>
          <w:r w:rsidR="007153C1" w:rsidRPr="00D120AC">
            <w:rPr>
              <w:color w:val="222222"/>
              <w:shd w:val="clear" w:color="auto" w:fill="FFFFFF"/>
              <w:lang w:val="en-CA"/>
            </w:rPr>
            <w:t>Wu, H., Wang, J., Zhao, Y., Zhang, X., Xu, L., Liu, H., Cui, Y., Cui, Y. and Li, C.</w:t>
          </w:r>
          <w:r w:rsidRPr="00D120AC">
            <w:rPr>
              <w:noProof/>
              <w:lang w:val="en-CA"/>
            </w:rPr>
            <w:t xml:space="preserve">, “A </w:t>
          </w:r>
          <w:r w:rsidR="00A407E5">
            <w:rPr>
              <w:noProof/>
              <w:lang w:val="en-CA"/>
            </w:rPr>
            <w:t>B</w:t>
          </w:r>
          <w:r w:rsidRPr="00D120AC">
            <w:rPr>
              <w:noProof/>
              <w:lang w:val="en-CA"/>
            </w:rPr>
            <w:t xml:space="preserve">ranched </w:t>
          </w:r>
          <w:r w:rsidR="00A407E5">
            <w:rPr>
              <w:noProof/>
              <w:lang w:val="en-CA"/>
            </w:rPr>
            <w:t>C</w:t>
          </w:r>
          <w:r w:rsidRPr="00D120AC">
            <w:rPr>
              <w:noProof/>
              <w:lang w:val="en-CA"/>
            </w:rPr>
            <w:t>ellulose-</w:t>
          </w:r>
          <w:r w:rsidR="00A407E5">
            <w:rPr>
              <w:noProof/>
              <w:lang w:val="en-CA"/>
            </w:rPr>
            <w:t>R</w:t>
          </w:r>
          <w:r w:rsidRPr="00D120AC">
            <w:rPr>
              <w:noProof/>
              <w:lang w:val="en-CA"/>
            </w:rPr>
            <w:t xml:space="preserve">einforced </w:t>
          </w:r>
          <w:r w:rsidR="00A407E5">
            <w:rPr>
              <w:noProof/>
              <w:lang w:val="en-CA"/>
            </w:rPr>
            <w:t>C</w:t>
          </w:r>
          <w:r w:rsidRPr="00D120AC">
            <w:rPr>
              <w:noProof/>
              <w:lang w:val="en-CA"/>
            </w:rPr>
            <w:t xml:space="preserve">omposite </w:t>
          </w:r>
          <w:r w:rsidR="00A407E5">
            <w:rPr>
              <w:noProof/>
              <w:lang w:val="en-CA"/>
            </w:rPr>
            <w:t>P</w:t>
          </w:r>
          <w:r w:rsidRPr="00D120AC">
            <w:rPr>
              <w:noProof/>
              <w:lang w:val="en-CA"/>
            </w:rPr>
            <w:t xml:space="preserve">olymer </w:t>
          </w:r>
          <w:r w:rsidR="00A407E5">
            <w:rPr>
              <w:noProof/>
              <w:lang w:val="en-CA"/>
            </w:rPr>
            <w:t>E</w:t>
          </w:r>
          <w:r w:rsidRPr="00D120AC">
            <w:rPr>
              <w:noProof/>
              <w:lang w:val="en-CA"/>
            </w:rPr>
            <w:t xml:space="preserve">lectrolyte </w:t>
          </w:r>
          <w:r w:rsidR="00A407E5">
            <w:rPr>
              <w:noProof/>
              <w:lang w:val="en-CA"/>
            </w:rPr>
            <w:t>w</w:t>
          </w:r>
          <w:r w:rsidRPr="00D120AC">
            <w:rPr>
              <w:noProof/>
              <w:lang w:val="en-CA"/>
            </w:rPr>
            <w:t xml:space="preserve">ith </w:t>
          </w:r>
          <w:r w:rsidR="00A407E5">
            <w:rPr>
              <w:noProof/>
              <w:lang w:val="en-CA"/>
            </w:rPr>
            <w:t>U</w:t>
          </w:r>
          <w:r w:rsidRPr="00D120AC">
            <w:rPr>
              <w:noProof/>
              <w:lang w:val="en-CA"/>
            </w:rPr>
            <w:t xml:space="preserve">pgraded </w:t>
          </w:r>
          <w:r w:rsidR="00A407E5">
            <w:rPr>
              <w:noProof/>
              <w:lang w:val="en-CA"/>
            </w:rPr>
            <w:t>I</w:t>
          </w:r>
          <w:r w:rsidRPr="00D120AC">
            <w:rPr>
              <w:noProof/>
              <w:lang w:val="en-CA"/>
            </w:rPr>
            <w:t xml:space="preserve">onic </w:t>
          </w:r>
          <w:r w:rsidR="00A407E5">
            <w:rPr>
              <w:noProof/>
              <w:lang w:val="en-CA"/>
            </w:rPr>
            <w:t>C</w:t>
          </w:r>
          <w:r w:rsidRPr="00D120AC">
            <w:rPr>
              <w:noProof/>
              <w:lang w:val="en-CA"/>
            </w:rPr>
            <w:t xml:space="preserve">onductivity for </w:t>
          </w:r>
          <w:r w:rsidR="00A407E5">
            <w:rPr>
              <w:noProof/>
              <w:lang w:val="en-CA"/>
            </w:rPr>
            <w:t>A</w:t>
          </w:r>
          <w:r w:rsidRPr="00D120AC">
            <w:rPr>
              <w:noProof/>
              <w:lang w:val="en-CA"/>
            </w:rPr>
            <w:t xml:space="preserve">node </w:t>
          </w:r>
          <w:r w:rsidR="00A407E5">
            <w:rPr>
              <w:noProof/>
              <w:lang w:val="en-CA"/>
            </w:rPr>
            <w:t>S</w:t>
          </w:r>
          <w:r w:rsidRPr="00D120AC">
            <w:rPr>
              <w:noProof/>
              <w:lang w:val="en-CA"/>
            </w:rPr>
            <w:t xml:space="preserve">tabilized </w:t>
          </w:r>
          <w:r w:rsidR="00A407E5">
            <w:rPr>
              <w:noProof/>
              <w:lang w:val="en-CA"/>
            </w:rPr>
            <w:t>S</w:t>
          </w:r>
          <w:r w:rsidRPr="00D120AC">
            <w:rPr>
              <w:noProof/>
              <w:lang w:val="en-CA"/>
            </w:rPr>
            <w:t>olid-</w:t>
          </w:r>
          <w:r w:rsidR="00A407E5">
            <w:rPr>
              <w:noProof/>
              <w:lang w:val="en-CA"/>
            </w:rPr>
            <w:t>S</w:t>
          </w:r>
          <w:r w:rsidRPr="00D120AC">
            <w:rPr>
              <w:noProof/>
              <w:lang w:val="en-CA"/>
            </w:rPr>
            <w:t xml:space="preserve">tate Li </w:t>
          </w:r>
          <w:r w:rsidR="00A407E5">
            <w:rPr>
              <w:noProof/>
              <w:lang w:val="en-CA"/>
            </w:rPr>
            <w:t>M</w:t>
          </w:r>
          <w:r w:rsidRPr="00D120AC">
            <w:rPr>
              <w:noProof/>
              <w:lang w:val="en-CA"/>
            </w:rPr>
            <w:t xml:space="preserve">etal </w:t>
          </w:r>
          <w:r w:rsidR="00A407E5">
            <w:rPr>
              <w:noProof/>
              <w:lang w:val="en-CA"/>
            </w:rPr>
            <w:t>B</w:t>
          </w:r>
          <w:r w:rsidRPr="00D120AC">
            <w:rPr>
              <w:noProof/>
              <w:lang w:val="en-CA"/>
            </w:rPr>
            <w:t xml:space="preserve">atteries,” </w:t>
          </w:r>
          <w:r w:rsidRPr="00D120AC">
            <w:rPr>
              <w:i/>
              <w:iCs/>
              <w:noProof/>
              <w:lang w:val="en-CA"/>
            </w:rPr>
            <w:t>Sustain. Energy Fuels</w:t>
          </w:r>
          <w:r w:rsidRPr="00D120AC">
            <w:rPr>
              <w:noProof/>
              <w:lang w:val="en-CA"/>
            </w:rPr>
            <w:t>, vol. 3, no. 10, pp. 2642–2656, 2019, doi: 10.1039/c9se00361d.</w:t>
          </w:r>
        </w:p>
        <w:p w14:paraId="1BFB7CD9" w14:textId="4EA23CE7" w:rsidR="00872A4B" w:rsidRPr="00D120AC" w:rsidRDefault="00872A4B" w:rsidP="00B15BDB">
          <w:pPr>
            <w:widowControl w:val="0"/>
            <w:autoSpaceDE w:val="0"/>
            <w:autoSpaceDN w:val="0"/>
            <w:adjustRightInd w:val="0"/>
            <w:ind w:left="640" w:hanging="640"/>
            <w:rPr>
              <w:noProof/>
              <w:lang w:val="en-CA"/>
            </w:rPr>
          </w:pPr>
          <w:r w:rsidRPr="00D120AC">
            <w:rPr>
              <w:noProof/>
              <w:lang w:val="en-CA"/>
            </w:rPr>
            <w:t>[</w:t>
          </w:r>
          <w:r w:rsidR="004768BC">
            <w:rPr>
              <w:noProof/>
              <w:lang w:val="en-CA"/>
            </w:rPr>
            <w:t>41</w:t>
          </w:r>
          <w:r w:rsidRPr="00D120AC">
            <w:rPr>
              <w:noProof/>
              <w:lang w:val="en-CA"/>
            </w:rPr>
            <w:t>]</w:t>
          </w:r>
          <w:r w:rsidRPr="00D120AC">
            <w:rPr>
              <w:noProof/>
              <w:lang w:val="en-CA"/>
            </w:rPr>
            <w:tab/>
            <w:t xml:space="preserve">F. Safdari, P. J. Carreau, M. C. Heuzey, M. R. Kamal, and M. M. Sain, “Enhanced </w:t>
          </w:r>
          <w:r w:rsidR="00A407E5" w:rsidRPr="00D120AC">
            <w:rPr>
              <w:noProof/>
              <w:lang w:val="en-CA"/>
            </w:rPr>
            <w:t xml:space="preserve">Properties </w:t>
          </w:r>
          <w:r w:rsidR="00A407E5">
            <w:rPr>
              <w:noProof/>
              <w:lang w:val="en-CA"/>
            </w:rPr>
            <w:t>o</w:t>
          </w:r>
          <w:r w:rsidR="00A407E5" w:rsidRPr="00D120AC">
            <w:rPr>
              <w:noProof/>
              <w:lang w:val="en-CA"/>
            </w:rPr>
            <w:t>f Poly(Ethylene Oxide)/Cellulose Nanofiber Biocomposites</w:t>
          </w:r>
          <w:r w:rsidRPr="00D120AC">
            <w:rPr>
              <w:noProof/>
              <w:lang w:val="en-CA"/>
            </w:rPr>
            <w:t xml:space="preserve">,” </w:t>
          </w:r>
          <w:r w:rsidRPr="00D120AC">
            <w:rPr>
              <w:i/>
              <w:iCs/>
              <w:noProof/>
              <w:lang w:val="en-CA"/>
            </w:rPr>
            <w:t>Cellulose</w:t>
          </w:r>
          <w:r w:rsidRPr="00D120AC">
            <w:rPr>
              <w:noProof/>
              <w:lang w:val="en-CA"/>
            </w:rPr>
            <w:t>, vol. 24, no. 2, pp. 755–767, 2017, doi: 10.1007/s10570-016-1137-1.</w:t>
          </w:r>
        </w:p>
        <w:p w14:paraId="19F13FD1" w14:textId="48639195" w:rsidR="00872A4B" w:rsidRPr="00D120AC" w:rsidRDefault="00872A4B" w:rsidP="00B15BDB">
          <w:pPr>
            <w:widowControl w:val="0"/>
            <w:autoSpaceDE w:val="0"/>
            <w:autoSpaceDN w:val="0"/>
            <w:adjustRightInd w:val="0"/>
            <w:ind w:left="640" w:hanging="640"/>
            <w:rPr>
              <w:noProof/>
              <w:lang w:val="en-CA"/>
            </w:rPr>
          </w:pPr>
          <w:r w:rsidRPr="00D120AC">
            <w:rPr>
              <w:noProof/>
              <w:lang w:val="en-CA"/>
            </w:rPr>
            <w:t>[4</w:t>
          </w:r>
          <w:r w:rsidR="004768BC">
            <w:rPr>
              <w:noProof/>
              <w:lang w:val="en-CA"/>
            </w:rPr>
            <w:t>2</w:t>
          </w:r>
          <w:r w:rsidRPr="00D120AC">
            <w:rPr>
              <w:noProof/>
              <w:lang w:val="en-CA"/>
            </w:rPr>
            <w:t>]</w:t>
          </w:r>
          <w:r w:rsidRPr="00D120AC">
            <w:rPr>
              <w:noProof/>
              <w:lang w:val="en-CA"/>
            </w:rPr>
            <w:tab/>
          </w:r>
          <w:r w:rsidR="007153C1" w:rsidRPr="00D120AC">
            <w:rPr>
              <w:color w:val="222222"/>
              <w:shd w:val="clear" w:color="auto" w:fill="FFFFFF"/>
              <w:lang w:val="en-CA"/>
            </w:rPr>
            <w:t>Qin, H., Fu, K., Zhang, Y., Ye, Y., Song, M., Kuang, Y., Jang, S.H., Jiang, F. and Cui, L.</w:t>
          </w:r>
          <w:r w:rsidRPr="00D120AC">
            <w:rPr>
              <w:noProof/>
              <w:lang w:val="en-CA"/>
            </w:rPr>
            <w:t xml:space="preserve">, “Flexible </w:t>
          </w:r>
          <w:r w:rsidR="00A407E5" w:rsidRPr="00D120AC">
            <w:rPr>
              <w:noProof/>
              <w:lang w:val="en-CA"/>
            </w:rPr>
            <w:t xml:space="preserve">Nanocellulose Enhanced </w:t>
          </w:r>
          <w:r w:rsidRPr="00D120AC">
            <w:rPr>
              <w:noProof/>
              <w:lang w:val="en-CA"/>
            </w:rPr>
            <w:t>Li</w:t>
          </w:r>
          <w:r w:rsidR="00A407E5" w:rsidRPr="00D120AC">
            <w:rPr>
              <w:noProof/>
              <w:vertAlign w:val="superscript"/>
              <w:lang w:val="en-CA"/>
            </w:rPr>
            <w:t>+</w:t>
          </w:r>
          <w:r w:rsidR="00A407E5" w:rsidRPr="00D120AC">
            <w:rPr>
              <w:noProof/>
              <w:lang w:val="en-CA"/>
            </w:rPr>
            <w:t xml:space="preserve"> Conducting Membrane </w:t>
          </w:r>
          <w:r w:rsidR="00A407E5">
            <w:rPr>
              <w:noProof/>
              <w:lang w:val="en-CA"/>
            </w:rPr>
            <w:t>f</w:t>
          </w:r>
          <w:r w:rsidR="00A407E5" w:rsidRPr="00D120AC">
            <w:rPr>
              <w:noProof/>
              <w:lang w:val="en-CA"/>
            </w:rPr>
            <w:t>or Solid Polymer Electrolyte</w:t>
          </w:r>
          <w:r w:rsidRPr="00D120AC">
            <w:rPr>
              <w:noProof/>
              <w:lang w:val="en-CA"/>
            </w:rPr>
            <w:t xml:space="preserve">,” </w:t>
          </w:r>
          <w:bookmarkStart w:id="5" w:name="_Hlk116646848"/>
          <w:r w:rsidRPr="00D120AC">
            <w:rPr>
              <w:i/>
              <w:iCs/>
              <w:noProof/>
              <w:lang w:val="en-CA"/>
            </w:rPr>
            <w:t>Energy Storage Mater.</w:t>
          </w:r>
          <w:r w:rsidRPr="00D120AC">
            <w:rPr>
              <w:noProof/>
              <w:lang w:val="en-CA"/>
            </w:rPr>
            <w:t>, vol. 28, pp. 293–299, 2020</w:t>
          </w:r>
          <w:bookmarkEnd w:id="5"/>
          <w:r w:rsidRPr="00D120AC">
            <w:rPr>
              <w:noProof/>
              <w:lang w:val="en-CA"/>
            </w:rPr>
            <w:t>, doi: 10.1016/j.ensm.2020.03.019.</w:t>
          </w:r>
        </w:p>
        <w:p w14:paraId="0E30A65F" w14:textId="32B26C7D" w:rsidR="00A407E5" w:rsidRDefault="00872A4B" w:rsidP="00B15BDB">
          <w:pPr>
            <w:widowControl w:val="0"/>
            <w:autoSpaceDE w:val="0"/>
            <w:autoSpaceDN w:val="0"/>
            <w:adjustRightInd w:val="0"/>
            <w:ind w:left="640" w:hanging="640"/>
            <w:rPr>
              <w:color w:val="222222"/>
              <w:shd w:val="clear" w:color="auto" w:fill="FFFFFF"/>
              <w:lang w:val="en-CA"/>
            </w:rPr>
          </w:pPr>
          <w:r w:rsidRPr="00D120AC">
            <w:rPr>
              <w:noProof/>
              <w:lang w:val="en-CA"/>
            </w:rPr>
            <w:t>[4</w:t>
          </w:r>
          <w:r w:rsidR="004768BC">
            <w:rPr>
              <w:noProof/>
              <w:lang w:val="en-CA"/>
            </w:rPr>
            <w:t>3</w:t>
          </w:r>
          <w:r w:rsidRPr="00D120AC">
            <w:rPr>
              <w:noProof/>
              <w:lang w:val="en-CA"/>
            </w:rPr>
            <w:t>]</w:t>
          </w:r>
          <w:r w:rsidRPr="00D120AC">
            <w:rPr>
              <w:noProof/>
              <w:lang w:val="en-CA"/>
            </w:rPr>
            <w:tab/>
          </w:r>
          <w:r w:rsidR="00A407E5" w:rsidRPr="00A407E5">
            <w:rPr>
              <w:color w:val="222222"/>
              <w:shd w:val="clear" w:color="auto" w:fill="FFFFFF"/>
              <w:lang w:val="en-CA"/>
            </w:rPr>
            <w:t xml:space="preserve">Moon, R.J., Martini, A., Nairn, J., Simonsen, J. and Youngblood, J., 2011. </w:t>
          </w:r>
          <w:r w:rsidR="006D7769" w:rsidRPr="00D120AC">
            <w:rPr>
              <w:noProof/>
              <w:lang w:val="en-CA"/>
            </w:rPr>
            <w:t>“</w:t>
          </w:r>
          <w:r w:rsidR="00A407E5" w:rsidRPr="00A407E5">
            <w:rPr>
              <w:color w:val="222222"/>
              <w:shd w:val="clear" w:color="auto" w:fill="FFFFFF"/>
              <w:lang w:val="en-CA"/>
            </w:rPr>
            <w:t xml:space="preserve">Cellulose </w:t>
          </w:r>
          <w:r w:rsidR="00A407E5">
            <w:rPr>
              <w:color w:val="222222"/>
              <w:shd w:val="clear" w:color="auto" w:fill="FFFFFF"/>
              <w:lang w:val="en-CA"/>
            </w:rPr>
            <w:t>N</w:t>
          </w:r>
          <w:r w:rsidR="00A407E5" w:rsidRPr="00A407E5">
            <w:rPr>
              <w:color w:val="222222"/>
              <w:shd w:val="clear" w:color="auto" w:fill="FFFFFF"/>
              <w:lang w:val="en-CA"/>
            </w:rPr>
            <w:t xml:space="preserve">anomaterials </w:t>
          </w:r>
          <w:r w:rsidR="00A407E5">
            <w:rPr>
              <w:color w:val="222222"/>
              <w:shd w:val="clear" w:color="auto" w:fill="FFFFFF"/>
              <w:lang w:val="en-CA"/>
            </w:rPr>
            <w:t>R</w:t>
          </w:r>
          <w:r w:rsidR="00A407E5" w:rsidRPr="00A407E5">
            <w:rPr>
              <w:color w:val="222222"/>
              <w:shd w:val="clear" w:color="auto" w:fill="FFFFFF"/>
              <w:lang w:val="en-CA"/>
            </w:rPr>
            <w:t xml:space="preserve">eview: </w:t>
          </w:r>
          <w:r w:rsidR="00A407E5">
            <w:rPr>
              <w:color w:val="222222"/>
              <w:shd w:val="clear" w:color="auto" w:fill="FFFFFF"/>
              <w:lang w:val="en-CA"/>
            </w:rPr>
            <w:t>S</w:t>
          </w:r>
          <w:r w:rsidR="00A407E5" w:rsidRPr="00A407E5">
            <w:rPr>
              <w:color w:val="222222"/>
              <w:shd w:val="clear" w:color="auto" w:fill="FFFFFF"/>
              <w:lang w:val="en-CA"/>
            </w:rPr>
            <w:t xml:space="preserve">tructure, </w:t>
          </w:r>
          <w:r w:rsidR="00A407E5">
            <w:rPr>
              <w:color w:val="222222"/>
              <w:shd w:val="clear" w:color="auto" w:fill="FFFFFF"/>
              <w:lang w:val="en-CA"/>
            </w:rPr>
            <w:t>P</w:t>
          </w:r>
          <w:r w:rsidR="00A407E5" w:rsidRPr="00A407E5">
            <w:rPr>
              <w:color w:val="222222"/>
              <w:shd w:val="clear" w:color="auto" w:fill="FFFFFF"/>
              <w:lang w:val="en-CA"/>
            </w:rPr>
            <w:t xml:space="preserve">roperties and </w:t>
          </w:r>
          <w:r w:rsidR="00A407E5">
            <w:rPr>
              <w:color w:val="222222"/>
              <w:shd w:val="clear" w:color="auto" w:fill="FFFFFF"/>
              <w:lang w:val="en-CA"/>
            </w:rPr>
            <w:t>N</w:t>
          </w:r>
          <w:r w:rsidR="00A407E5" w:rsidRPr="00A407E5">
            <w:rPr>
              <w:color w:val="222222"/>
              <w:shd w:val="clear" w:color="auto" w:fill="FFFFFF"/>
              <w:lang w:val="en-CA"/>
            </w:rPr>
            <w:t>anocomposites</w:t>
          </w:r>
          <w:r w:rsidR="006D7769">
            <w:rPr>
              <w:color w:val="222222"/>
              <w:shd w:val="clear" w:color="auto" w:fill="FFFFFF"/>
              <w:lang w:val="en-CA"/>
            </w:rPr>
            <w:t>,</w:t>
          </w:r>
          <w:r w:rsidR="006D7769" w:rsidRPr="00D120AC">
            <w:rPr>
              <w:noProof/>
              <w:lang w:val="en-CA"/>
            </w:rPr>
            <w:t>”</w:t>
          </w:r>
          <w:r w:rsidR="00A407E5">
            <w:rPr>
              <w:color w:val="222222"/>
              <w:shd w:val="clear" w:color="auto" w:fill="FFFFFF"/>
              <w:lang w:val="en-CA"/>
            </w:rPr>
            <w:t xml:space="preserve"> </w:t>
          </w:r>
          <w:r w:rsidR="00A407E5" w:rsidRPr="00A407E5">
            <w:rPr>
              <w:i/>
              <w:iCs/>
              <w:color w:val="222222"/>
              <w:shd w:val="clear" w:color="auto" w:fill="FFFFFF"/>
              <w:lang w:val="en-CA"/>
            </w:rPr>
            <w:t>Chemical Society Reviews</w:t>
          </w:r>
          <w:r w:rsidR="00A407E5" w:rsidRPr="00A407E5">
            <w:rPr>
              <w:color w:val="222222"/>
              <w:shd w:val="clear" w:color="auto" w:fill="FFFFFF"/>
              <w:lang w:val="en-CA"/>
            </w:rPr>
            <w:t>,</w:t>
          </w:r>
          <w:r w:rsidR="00A407E5">
            <w:rPr>
              <w:color w:val="222222"/>
              <w:shd w:val="clear" w:color="auto" w:fill="FFFFFF"/>
              <w:lang w:val="en-CA"/>
            </w:rPr>
            <w:t xml:space="preserve"> </w:t>
          </w:r>
          <w:r w:rsidR="00A407E5" w:rsidRPr="00A407E5">
            <w:rPr>
              <w:color w:val="222222"/>
              <w:shd w:val="clear" w:color="auto" w:fill="FFFFFF"/>
              <w:lang w:val="en-CA"/>
            </w:rPr>
            <w:t>40</w:t>
          </w:r>
          <w:r w:rsidR="00A407E5">
            <w:rPr>
              <w:color w:val="222222"/>
              <w:shd w:val="clear" w:color="auto" w:fill="FFFFFF"/>
              <w:lang w:val="en-CA"/>
            </w:rPr>
            <w:t xml:space="preserve"> </w:t>
          </w:r>
          <w:r w:rsidR="00A407E5" w:rsidRPr="00A407E5">
            <w:rPr>
              <w:color w:val="222222"/>
              <w:shd w:val="clear" w:color="auto" w:fill="FFFFFF"/>
              <w:lang w:val="en-CA"/>
            </w:rPr>
            <w:t>(7), pp.3941-3994.</w:t>
          </w:r>
        </w:p>
        <w:p w14:paraId="7D21B075" w14:textId="7CE9A40A" w:rsidR="00872A4B" w:rsidRPr="00E11FCF" w:rsidRDefault="00872A4B" w:rsidP="00B15BDB">
          <w:pPr>
            <w:widowControl w:val="0"/>
            <w:autoSpaceDE w:val="0"/>
            <w:autoSpaceDN w:val="0"/>
            <w:adjustRightInd w:val="0"/>
            <w:ind w:left="640" w:hanging="640"/>
            <w:rPr>
              <w:color w:val="222222"/>
              <w:shd w:val="clear" w:color="auto" w:fill="FFFFFF"/>
              <w:lang w:val="en-CA"/>
            </w:rPr>
          </w:pPr>
          <w:r w:rsidRPr="00A407E5">
            <w:rPr>
              <w:color w:val="222222"/>
              <w:shd w:val="clear" w:color="auto" w:fill="FFFFFF"/>
              <w:lang w:val="en-CA"/>
            </w:rPr>
            <w:t>[4</w:t>
          </w:r>
          <w:r w:rsidR="004768BC" w:rsidRPr="00A407E5">
            <w:rPr>
              <w:color w:val="222222"/>
              <w:shd w:val="clear" w:color="auto" w:fill="FFFFFF"/>
              <w:lang w:val="en-CA"/>
            </w:rPr>
            <w:t>4</w:t>
          </w:r>
          <w:r w:rsidRPr="00A407E5">
            <w:rPr>
              <w:color w:val="222222"/>
              <w:shd w:val="clear" w:color="auto" w:fill="FFFFFF"/>
              <w:lang w:val="en-CA"/>
            </w:rPr>
            <w:t>]</w:t>
          </w:r>
          <w:r w:rsidRPr="00A407E5">
            <w:rPr>
              <w:color w:val="222222"/>
              <w:shd w:val="clear" w:color="auto" w:fill="FFFFFF"/>
              <w:lang w:val="en-CA"/>
            </w:rPr>
            <w:tab/>
          </w:r>
          <w:r w:rsidR="00E11FCF" w:rsidRPr="00E11FCF">
            <w:rPr>
              <w:color w:val="222222"/>
              <w:shd w:val="clear" w:color="auto" w:fill="FFFFFF"/>
              <w:lang w:val="en-CA"/>
            </w:rPr>
            <w:t xml:space="preserve">Wald, Nathan. </w:t>
          </w:r>
          <w:r w:rsidR="006D7769" w:rsidRPr="00D120AC">
            <w:rPr>
              <w:noProof/>
              <w:lang w:val="en-CA"/>
            </w:rPr>
            <w:t>“</w:t>
          </w:r>
          <w:r w:rsidR="00E11FCF" w:rsidRPr="00E11FCF">
            <w:rPr>
              <w:color w:val="222222"/>
              <w:shd w:val="clear" w:color="auto" w:fill="FFFFFF"/>
              <w:lang w:val="en-CA"/>
            </w:rPr>
            <w:t xml:space="preserve">Poly (Ethylene Oxide)/Cellulose-Nanocrystal Nanocomposites </w:t>
          </w:r>
          <w:r w:rsidR="00E11FCF">
            <w:rPr>
              <w:color w:val="222222"/>
              <w:shd w:val="clear" w:color="auto" w:fill="FFFFFF"/>
              <w:lang w:val="en-CA"/>
            </w:rPr>
            <w:t>a</w:t>
          </w:r>
          <w:r w:rsidR="00E11FCF" w:rsidRPr="00E11FCF">
            <w:rPr>
              <w:color w:val="222222"/>
              <w:shd w:val="clear" w:color="auto" w:fill="FFFFFF"/>
              <w:lang w:val="en-CA"/>
            </w:rPr>
            <w:t>s Polymer Electrolyte Membranes</w:t>
          </w:r>
          <w:r w:rsidR="006D7769">
            <w:rPr>
              <w:color w:val="222222"/>
              <w:shd w:val="clear" w:color="auto" w:fill="FFFFFF"/>
              <w:lang w:val="en-CA"/>
            </w:rPr>
            <w:t>,</w:t>
          </w:r>
          <w:r w:rsidR="006D7769" w:rsidRPr="00D120AC">
            <w:rPr>
              <w:noProof/>
              <w:lang w:val="en-CA"/>
            </w:rPr>
            <w:t>”</w:t>
          </w:r>
          <w:r w:rsidR="00E11FCF" w:rsidRPr="00E11FCF">
            <w:rPr>
              <w:color w:val="222222"/>
              <w:shd w:val="clear" w:color="auto" w:fill="FFFFFF"/>
              <w:lang w:val="en-CA"/>
            </w:rPr>
            <w:t xml:space="preserve"> PhD diss., Drexel University, 2012.</w:t>
          </w:r>
        </w:p>
        <w:p w14:paraId="107B7CFB" w14:textId="26FE58A7" w:rsidR="00872A4B" w:rsidRPr="00D120AC" w:rsidRDefault="00872A4B" w:rsidP="00B15BDB">
          <w:pPr>
            <w:widowControl w:val="0"/>
            <w:autoSpaceDE w:val="0"/>
            <w:autoSpaceDN w:val="0"/>
            <w:adjustRightInd w:val="0"/>
            <w:ind w:left="640" w:hanging="640"/>
            <w:rPr>
              <w:noProof/>
              <w:lang w:val="en-CA"/>
            </w:rPr>
          </w:pPr>
          <w:r w:rsidRPr="00D120AC">
            <w:rPr>
              <w:color w:val="222222"/>
              <w:shd w:val="clear" w:color="auto" w:fill="FFFFFF"/>
              <w:lang w:val="en-CA"/>
            </w:rPr>
            <w:t>[4</w:t>
          </w:r>
          <w:r w:rsidR="004768BC">
            <w:rPr>
              <w:color w:val="222222"/>
              <w:shd w:val="clear" w:color="auto" w:fill="FFFFFF"/>
              <w:lang w:val="en-CA"/>
            </w:rPr>
            <w:t>5</w:t>
          </w:r>
          <w:r w:rsidRPr="00D120AC">
            <w:rPr>
              <w:color w:val="222222"/>
              <w:shd w:val="clear" w:color="auto" w:fill="FFFFFF"/>
              <w:lang w:val="en-CA"/>
            </w:rPr>
            <w:t>]</w:t>
          </w:r>
          <w:r w:rsidRPr="00D120AC">
            <w:rPr>
              <w:color w:val="222222"/>
              <w:shd w:val="clear" w:color="auto" w:fill="FFFFFF"/>
              <w:lang w:val="en-CA"/>
            </w:rPr>
            <w:tab/>
            <w:t xml:space="preserve">Zheng, Xuewen, Kunlin Liu, Ting Yang, Jianghai Wei, Chengyang Wang, and Mingming Chen. </w:t>
          </w:r>
          <w:r w:rsidR="006D7769" w:rsidRPr="00D120AC">
            <w:rPr>
              <w:noProof/>
              <w:lang w:val="en-CA"/>
            </w:rPr>
            <w:t>“</w:t>
          </w:r>
          <w:bookmarkStart w:id="6" w:name="_Hlk118145535"/>
          <w:r w:rsidRPr="00D120AC">
            <w:rPr>
              <w:color w:val="222222"/>
              <w:shd w:val="clear" w:color="auto" w:fill="FFFFFF"/>
              <w:lang w:val="en-CA"/>
            </w:rPr>
            <w:t xml:space="preserve">Sandwich </w:t>
          </w:r>
          <w:r w:rsidR="00E11FCF">
            <w:rPr>
              <w:color w:val="222222"/>
              <w:shd w:val="clear" w:color="auto" w:fill="FFFFFF"/>
              <w:lang w:val="en-CA"/>
            </w:rPr>
            <w:t>C</w:t>
          </w:r>
          <w:r w:rsidRPr="00D120AC">
            <w:rPr>
              <w:color w:val="222222"/>
              <w:shd w:val="clear" w:color="auto" w:fill="FFFFFF"/>
              <w:lang w:val="en-CA"/>
            </w:rPr>
            <w:t>omposite PEO@(Er</w:t>
          </w:r>
          <w:r w:rsidRPr="00E11FCF">
            <w:rPr>
              <w:color w:val="222222"/>
              <w:shd w:val="clear" w:color="auto" w:fill="FFFFFF"/>
              <w:vertAlign w:val="subscript"/>
              <w:lang w:val="en-CA"/>
            </w:rPr>
            <w:t>0</w:t>
          </w:r>
          <w:r w:rsidR="003D1B44" w:rsidRPr="00E11FCF">
            <w:rPr>
              <w:color w:val="222222"/>
              <w:shd w:val="clear" w:color="auto" w:fill="FFFFFF"/>
              <w:vertAlign w:val="subscript"/>
              <w:lang w:val="en-CA"/>
            </w:rPr>
            <w:t>.</w:t>
          </w:r>
          <w:r w:rsidRPr="00E11FCF">
            <w:rPr>
              <w:color w:val="222222"/>
              <w:shd w:val="clear" w:color="auto" w:fill="FFFFFF"/>
              <w:vertAlign w:val="subscript"/>
              <w:lang w:val="en-CA"/>
            </w:rPr>
            <w:t>5</w:t>
          </w:r>
          <w:r w:rsidRPr="00D120AC">
            <w:rPr>
              <w:color w:val="222222"/>
              <w:shd w:val="clear" w:color="auto" w:fill="FFFFFF"/>
              <w:lang w:val="en-CA"/>
            </w:rPr>
            <w:t>Nb</w:t>
          </w:r>
          <w:r w:rsidRPr="00E11FCF">
            <w:rPr>
              <w:color w:val="222222"/>
              <w:shd w:val="clear" w:color="auto" w:fill="FFFFFF"/>
              <w:vertAlign w:val="subscript"/>
              <w:lang w:val="en-CA"/>
            </w:rPr>
            <w:t>0.5</w:t>
          </w:r>
          <w:r w:rsidRPr="00D120AC">
            <w:rPr>
              <w:color w:val="222222"/>
              <w:shd w:val="clear" w:color="auto" w:fill="FFFFFF"/>
              <w:lang w:val="en-CA"/>
            </w:rPr>
            <w:t>)</w:t>
          </w:r>
          <w:r w:rsidRPr="00E11FCF">
            <w:rPr>
              <w:color w:val="222222"/>
              <w:shd w:val="clear" w:color="auto" w:fill="FFFFFF"/>
              <w:vertAlign w:val="subscript"/>
              <w:lang w:val="en-CA"/>
            </w:rPr>
            <w:t>0.05</w:t>
          </w:r>
          <w:r w:rsidRPr="00D120AC">
            <w:rPr>
              <w:color w:val="222222"/>
              <w:shd w:val="clear" w:color="auto" w:fill="FFFFFF"/>
              <w:lang w:val="en-CA"/>
            </w:rPr>
            <w:t>Ti</w:t>
          </w:r>
          <w:r w:rsidR="00E11FCF" w:rsidRPr="00E11FCF">
            <w:rPr>
              <w:color w:val="222222"/>
              <w:shd w:val="clear" w:color="auto" w:fill="FFFFFF"/>
              <w:vertAlign w:val="subscript"/>
              <w:lang w:val="en-CA"/>
            </w:rPr>
            <w:t>0.</w:t>
          </w:r>
          <w:r w:rsidRPr="00E11FCF">
            <w:rPr>
              <w:color w:val="222222"/>
              <w:shd w:val="clear" w:color="auto" w:fill="FFFFFF"/>
              <w:vertAlign w:val="subscript"/>
              <w:lang w:val="en-CA"/>
            </w:rPr>
            <w:t>95</w:t>
          </w:r>
          <w:r w:rsidRPr="00D120AC">
            <w:rPr>
              <w:color w:val="222222"/>
              <w:shd w:val="clear" w:color="auto" w:fill="FFFFFF"/>
              <w:lang w:val="en-CA"/>
            </w:rPr>
            <w:t>O</w:t>
          </w:r>
          <w:r w:rsidRPr="00E11FCF">
            <w:rPr>
              <w:color w:val="222222"/>
              <w:shd w:val="clear" w:color="auto" w:fill="FFFFFF"/>
              <w:vertAlign w:val="subscript"/>
              <w:lang w:val="en-CA"/>
            </w:rPr>
            <w:t>2</w:t>
          </w:r>
          <w:r w:rsidRPr="00D120AC">
            <w:rPr>
              <w:color w:val="222222"/>
              <w:shd w:val="clear" w:color="auto" w:fill="FFFFFF"/>
              <w:lang w:val="en-CA"/>
            </w:rPr>
            <w:t>@</w:t>
          </w:r>
          <w:r w:rsidR="00E11FCF">
            <w:rPr>
              <w:color w:val="222222"/>
              <w:shd w:val="clear" w:color="auto" w:fill="FFFFFF"/>
              <w:lang w:val="en-CA"/>
            </w:rPr>
            <w:t>C</w:t>
          </w:r>
          <w:r w:rsidRPr="00D120AC">
            <w:rPr>
              <w:color w:val="222222"/>
              <w:shd w:val="clear" w:color="auto" w:fill="FFFFFF"/>
              <w:lang w:val="en-CA"/>
            </w:rPr>
            <w:t xml:space="preserve">ellulose </w:t>
          </w:r>
          <w:r w:rsidR="00E11FCF">
            <w:rPr>
              <w:color w:val="222222"/>
              <w:shd w:val="clear" w:color="auto" w:fill="FFFFFF"/>
              <w:lang w:val="en-CA"/>
            </w:rPr>
            <w:t>E</w:t>
          </w:r>
          <w:r w:rsidRPr="00D120AC">
            <w:rPr>
              <w:color w:val="222222"/>
              <w:shd w:val="clear" w:color="auto" w:fill="FFFFFF"/>
              <w:lang w:val="en-CA"/>
            </w:rPr>
            <w:t xml:space="preserve">lectrolyte </w:t>
          </w:r>
          <w:r w:rsidR="00E11FCF">
            <w:rPr>
              <w:color w:val="222222"/>
              <w:shd w:val="clear" w:color="auto" w:fill="FFFFFF"/>
              <w:lang w:val="en-CA"/>
            </w:rPr>
            <w:t>w</w:t>
          </w:r>
          <w:r w:rsidRPr="00D120AC">
            <w:rPr>
              <w:color w:val="222222"/>
              <w:shd w:val="clear" w:color="auto" w:fill="FFFFFF"/>
              <w:lang w:val="en-CA"/>
            </w:rPr>
            <w:t xml:space="preserve">ith </w:t>
          </w:r>
          <w:r w:rsidR="00E11FCF">
            <w:rPr>
              <w:color w:val="222222"/>
              <w:shd w:val="clear" w:color="auto" w:fill="FFFFFF"/>
              <w:lang w:val="en-CA"/>
            </w:rPr>
            <w:t>H</w:t>
          </w:r>
          <w:r w:rsidRPr="00D120AC">
            <w:rPr>
              <w:color w:val="222222"/>
              <w:shd w:val="clear" w:color="auto" w:fill="FFFFFF"/>
              <w:lang w:val="en-CA"/>
            </w:rPr>
            <w:t xml:space="preserve">igh </w:t>
          </w:r>
          <w:r w:rsidR="00E11FCF">
            <w:rPr>
              <w:color w:val="222222"/>
              <w:shd w:val="clear" w:color="auto" w:fill="FFFFFF"/>
              <w:lang w:val="en-CA"/>
            </w:rPr>
            <w:t>C</w:t>
          </w:r>
          <w:r w:rsidRPr="00D120AC">
            <w:rPr>
              <w:color w:val="222222"/>
              <w:shd w:val="clear" w:color="auto" w:fill="FFFFFF"/>
              <w:lang w:val="en-CA"/>
            </w:rPr>
            <w:t xml:space="preserve">ycling </w:t>
          </w:r>
          <w:r w:rsidR="00E11FCF">
            <w:rPr>
              <w:color w:val="222222"/>
              <w:shd w:val="clear" w:color="auto" w:fill="FFFFFF"/>
              <w:lang w:val="en-CA"/>
            </w:rPr>
            <w:t>S</w:t>
          </w:r>
          <w:r w:rsidRPr="00D120AC">
            <w:rPr>
              <w:color w:val="222222"/>
              <w:shd w:val="clear" w:color="auto" w:fill="FFFFFF"/>
              <w:lang w:val="en-CA"/>
            </w:rPr>
            <w:t xml:space="preserve">tability for </w:t>
          </w:r>
          <w:r w:rsidR="00E11FCF">
            <w:rPr>
              <w:color w:val="222222"/>
              <w:shd w:val="clear" w:color="auto" w:fill="FFFFFF"/>
              <w:lang w:val="en-CA"/>
            </w:rPr>
            <w:t>A</w:t>
          </w:r>
          <w:r w:rsidRPr="00D120AC">
            <w:rPr>
              <w:color w:val="222222"/>
              <w:shd w:val="clear" w:color="auto" w:fill="FFFFFF"/>
              <w:lang w:val="en-CA"/>
            </w:rPr>
            <w:t>ll-</w:t>
          </w:r>
          <w:r w:rsidR="00E11FCF">
            <w:rPr>
              <w:color w:val="222222"/>
              <w:shd w:val="clear" w:color="auto" w:fill="FFFFFF"/>
              <w:lang w:val="en-CA"/>
            </w:rPr>
            <w:t>S</w:t>
          </w:r>
          <w:r w:rsidRPr="00D120AC">
            <w:rPr>
              <w:color w:val="222222"/>
              <w:shd w:val="clear" w:color="auto" w:fill="FFFFFF"/>
              <w:lang w:val="en-CA"/>
            </w:rPr>
            <w:t>olid-</w:t>
          </w:r>
          <w:r w:rsidR="00E11FCF">
            <w:rPr>
              <w:color w:val="222222"/>
              <w:shd w:val="clear" w:color="auto" w:fill="FFFFFF"/>
              <w:lang w:val="en-CA"/>
            </w:rPr>
            <w:t>S</w:t>
          </w:r>
          <w:r w:rsidRPr="00D120AC">
            <w:rPr>
              <w:color w:val="222222"/>
              <w:shd w:val="clear" w:color="auto" w:fill="FFFFFF"/>
              <w:lang w:val="en-CA"/>
            </w:rPr>
            <w:t xml:space="preserve">tate </w:t>
          </w:r>
          <w:r w:rsidR="00E11FCF">
            <w:rPr>
              <w:color w:val="222222"/>
              <w:shd w:val="clear" w:color="auto" w:fill="FFFFFF"/>
              <w:lang w:val="en-CA"/>
            </w:rPr>
            <w:t>L</w:t>
          </w:r>
          <w:r w:rsidRPr="00D120AC">
            <w:rPr>
              <w:color w:val="222222"/>
              <w:shd w:val="clear" w:color="auto" w:fill="FFFFFF"/>
              <w:lang w:val="en-CA"/>
            </w:rPr>
            <w:t xml:space="preserve">ithium </w:t>
          </w:r>
          <w:r w:rsidR="00E11FCF">
            <w:rPr>
              <w:color w:val="222222"/>
              <w:shd w:val="clear" w:color="auto" w:fill="FFFFFF"/>
              <w:lang w:val="en-CA"/>
            </w:rPr>
            <w:t>M</w:t>
          </w:r>
          <w:r w:rsidRPr="00D120AC">
            <w:rPr>
              <w:color w:val="222222"/>
              <w:shd w:val="clear" w:color="auto" w:fill="FFFFFF"/>
              <w:lang w:val="en-CA"/>
            </w:rPr>
            <w:t xml:space="preserve">etal </w:t>
          </w:r>
          <w:r w:rsidR="00E11FCF">
            <w:rPr>
              <w:color w:val="222222"/>
              <w:shd w:val="clear" w:color="auto" w:fill="FFFFFF"/>
              <w:lang w:val="en-CA"/>
            </w:rPr>
            <w:t>B</w:t>
          </w:r>
          <w:r w:rsidRPr="00D120AC">
            <w:rPr>
              <w:color w:val="222222"/>
              <w:shd w:val="clear" w:color="auto" w:fill="FFFFFF"/>
              <w:lang w:val="en-CA"/>
            </w:rPr>
            <w:t>atteries</w:t>
          </w:r>
          <w:r w:rsidR="006D7769">
            <w:rPr>
              <w:color w:val="222222"/>
              <w:shd w:val="clear" w:color="auto" w:fill="FFFFFF"/>
              <w:lang w:val="en-CA"/>
            </w:rPr>
            <w:t>,</w:t>
          </w:r>
          <w:r w:rsidR="006D7769" w:rsidRPr="00D120AC">
            <w:rPr>
              <w:noProof/>
              <w:lang w:val="en-CA"/>
            </w:rPr>
            <w:t>”</w:t>
          </w:r>
          <w:r w:rsidRPr="00D120AC">
            <w:rPr>
              <w:color w:val="222222"/>
              <w:shd w:val="clear" w:color="auto" w:fill="FFFFFF"/>
              <w:lang w:val="en-CA"/>
            </w:rPr>
            <w:t xml:space="preserve"> </w:t>
          </w:r>
          <w:r w:rsidRPr="00D120AC">
            <w:rPr>
              <w:i/>
              <w:iCs/>
              <w:color w:val="222222"/>
              <w:shd w:val="clear" w:color="auto" w:fill="FFFFFF"/>
              <w:lang w:val="en-CA"/>
            </w:rPr>
            <w:t>Journal of Alloys and Compounds</w:t>
          </w:r>
          <w:r w:rsidRPr="00D120AC">
            <w:rPr>
              <w:color w:val="222222"/>
              <w:shd w:val="clear" w:color="auto" w:fill="FFFFFF"/>
              <w:lang w:val="en-CA"/>
            </w:rPr>
            <w:t xml:space="preserve"> 877 (2021): 160307</w:t>
          </w:r>
          <w:bookmarkEnd w:id="6"/>
        </w:p>
        <w:p w14:paraId="6C76620D" w14:textId="4EAB0942" w:rsidR="00872A4B" w:rsidRPr="00D120AC" w:rsidRDefault="00872A4B" w:rsidP="00B15BDB">
          <w:pPr>
            <w:widowControl w:val="0"/>
            <w:autoSpaceDE w:val="0"/>
            <w:autoSpaceDN w:val="0"/>
            <w:adjustRightInd w:val="0"/>
            <w:ind w:left="640" w:hanging="640"/>
            <w:rPr>
              <w:noProof/>
              <w:lang w:val="en-CA"/>
            </w:rPr>
          </w:pPr>
          <w:r w:rsidRPr="00D120AC">
            <w:rPr>
              <w:noProof/>
              <w:lang w:val="en-CA"/>
            </w:rPr>
            <w:t>[4</w:t>
          </w:r>
          <w:r w:rsidR="004768BC">
            <w:rPr>
              <w:noProof/>
              <w:lang w:val="en-CA"/>
            </w:rPr>
            <w:t>6</w:t>
          </w:r>
          <w:r w:rsidRPr="00D120AC">
            <w:rPr>
              <w:noProof/>
              <w:lang w:val="en-CA"/>
            </w:rPr>
            <w:t>]</w:t>
          </w:r>
          <w:r w:rsidRPr="00D120AC">
            <w:rPr>
              <w:noProof/>
              <w:lang w:val="en-CA"/>
            </w:rPr>
            <w:tab/>
            <w:t xml:space="preserve">A. Pandey, A. Telmadarreie, M. Trifkovic, and S. Bryant, “Cellulose </w:t>
          </w:r>
          <w:r w:rsidR="00E11FCF" w:rsidRPr="00D120AC">
            <w:rPr>
              <w:noProof/>
              <w:lang w:val="en-CA"/>
            </w:rPr>
            <w:t xml:space="preserve">Nanocrystal Stabilized Emulsions </w:t>
          </w:r>
          <w:r w:rsidR="00E11FCF">
            <w:rPr>
              <w:noProof/>
              <w:lang w:val="en-CA"/>
            </w:rPr>
            <w:t>f</w:t>
          </w:r>
          <w:r w:rsidR="00E11FCF" w:rsidRPr="00D120AC">
            <w:rPr>
              <w:noProof/>
              <w:lang w:val="en-CA"/>
            </w:rPr>
            <w:t xml:space="preserve">or Conformance Control </w:t>
          </w:r>
          <w:r w:rsidR="00E11FCF">
            <w:rPr>
              <w:noProof/>
              <w:lang w:val="en-CA"/>
            </w:rPr>
            <w:t>a</w:t>
          </w:r>
          <w:r w:rsidR="00E11FCF" w:rsidRPr="00D120AC">
            <w:rPr>
              <w:noProof/>
              <w:lang w:val="en-CA"/>
            </w:rPr>
            <w:t xml:space="preserve">nd Fluid Diversion </w:t>
          </w:r>
          <w:r w:rsidR="00E11FCF">
            <w:rPr>
              <w:noProof/>
              <w:lang w:val="en-CA"/>
            </w:rPr>
            <w:t>i</w:t>
          </w:r>
          <w:r w:rsidR="00E11FCF" w:rsidRPr="00D120AC">
            <w:rPr>
              <w:noProof/>
              <w:lang w:val="en-CA"/>
            </w:rPr>
            <w:t>n Porous Media</w:t>
          </w:r>
          <w:r w:rsidRPr="00D120AC">
            <w:rPr>
              <w:noProof/>
              <w:lang w:val="en-CA"/>
            </w:rPr>
            <w:t xml:space="preserve">,” </w:t>
          </w:r>
          <w:r w:rsidRPr="00D120AC">
            <w:rPr>
              <w:i/>
              <w:iCs/>
              <w:noProof/>
              <w:lang w:val="en-CA"/>
            </w:rPr>
            <w:t>Proc. - SPE Annu. Tech. Conf. Exhib.</w:t>
          </w:r>
          <w:r w:rsidRPr="00D120AC">
            <w:rPr>
              <w:noProof/>
              <w:lang w:val="en-CA"/>
            </w:rPr>
            <w:t>, vol. 2018-Septe, 2018, doi: 10.2118/191609-ms.</w:t>
          </w:r>
        </w:p>
        <w:p w14:paraId="149C87C2" w14:textId="54C57AAB" w:rsidR="00872A4B" w:rsidRPr="00D120AC" w:rsidRDefault="00872A4B" w:rsidP="00B15BDB">
          <w:pPr>
            <w:widowControl w:val="0"/>
            <w:autoSpaceDE w:val="0"/>
            <w:autoSpaceDN w:val="0"/>
            <w:adjustRightInd w:val="0"/>
            <w:ind w:left="640" w:hanging="640"/>
            <w:rPr>
              <w:color w:val="222222"/>
              <w:shd w:val="clear" w:color="auto" w:fill="FFFFFF"/>
              <w:lang w:val="en-CA"/>
            </w:rPr>
          </w:pPr>
          <w:r w:rsidRPr="00D120AC">
            <w:rPr>
              <w:noProof/>
              <w:lang w:val="en-CA"/>
            </w:rPr>
            <w:t>[4</w:t>
          </w:r>
          <w:r w:rsidR="004768BC">
            <w:rPr>
              <w:noProof/>
              <w:lang w:val="en-CA"/>
            </w:rPr>
            <w:t>7</w:t>
          </w:r>
          <w:r w:rsidRPr="00D120AC">
            <w:rPr>
              <w:noProof/>
              <w:lang w:val="en-CA"/>
            </w:rPr>
            <w:t>]</w:t>
          </w:r>
          <w:r w:rsidRPr="00D120AC">
            <w:rPr>
              <w:noProof/>
              <w:lang w:val="en-CA"/>
            </w:rPr>
            <w:tab/>
          </w:r>
          <w:r w:rsidR="007153C1" w:rsidRPr="00D120AC">
            <w:rPr>
              <w:color w:val="222222"/>
              <w:shd w:val="clear" w:color="auto" w:fill="FFFFFF"/>
              <w:lang w:val="en-CA"/>
            </w:rPr>
            <w:t>Marzantowicz, M., Dygas, J.R., Krok, F., Nowiński, J.L., Tomaszewska, A., Florjańczyk, Z. and Zygadło-Monikowska, E.</w:t>
          </w:r>
          <w:r w:rsidRPr="00D120AC">
            <w:rPr>
              <w:noProof/>
              <w:lang w:val="en-CA"/>
            </w:rPr>
            <w:t xml:space="preserve">, </w:t>
          </w:r>
          <w:bookmarkStart w:id="7" w:name="_Hlk118145568"/>
          <w:r w:rsidRPr="00D120AC">
            <w:rPr>
              <w:noProof/>
              <w:lang w:val="en-CA"/>
            </w:rPr>
            <w:t xml:space="preserve">“Crystalline </w:t>
          </w:r>
          <w:r w:rsidR="00E11FCF">
            <w:rPr>
              <w:noProof/>
              <w:lang w:val="en-CA"/>
            </w:rPr>
            <w:t>P</w:t>
          </w:r>
          <w:r w:rsidRPr="00D120AC">
            <w:rPr>
              <w:noProof/>
              <w:lang w:val="en-CA"/>
            </w:rPr>
            <w:t xml:space="preserve">hases, </w:t>
          </w:r>
          <w:r w:rsidR="00E11FCF">
            <w:rPr>
              <w:noProof/>
              <w:lang w:val="en-CA"/>
            </w:rPr>
            <w:t>M</w:t>
          </w:r>
          <w:r w:rsidRPr="00D120AC">
            <w:rPr>
              <w:noProof/>
              <w:lang w:val="en-CA"/>
            </w:rPr>
            <w:t xml:space="preserve">orphology and </w:t>
          </w:r>
          <w:r w:rsidR="00E11FCF">
            <w:rPr>
              <w:noProof/>
              <w:lang w:val="en-CA"/>
            </w:rPr>
            <w:t>C</w:t>
          </w:r>
          <w:r w:rsidRPr="00D120AC">
            <w:rPr>
              <w:noProof/>
              <w:lang w:val="en-CA"/>
            </w:rPr>
            <w:t xml:space="preserve">onductivity of PEO:LiTFSI </w:t>
          </w:r>
          <w:r w:rsidR="00E11FCF">
            <w:rPr>
              <w:noProof/>
              <w:lang w:val="en-CA"/>
            </w:rPr>
            <w:t>E</w:t>
          </w:r>
          <w:r w:rsidRPr="00D120AC">
            <w:rPr>
              <w:noProof/>
              <w:lang w:val="en-CA"/>
            </w:rPr>
            <w:t xml:space="preserve">lectrolytes in the </w:t>
          </w:r>
          <w:r w:rsidR="00E11FCF">
            <w:rPr>
              <w:noProof/>
              <w:lang w:val="en-CA"/>
            </w:rPr>
            <w:t>E</w:t>
          </w:r>
          <w:r w:rsidRPr="00D120AC">
            <w:rPr>
              <w:noProof/>
              <w:lang w:val="en-CA"/>
            </w:rPr>
            <w:t xml:space="preserve">utectic </w:t>
          </w:r>
          <w:r w:rsidR="00E11FCF">
            <w:rPr>
              <w:noProof/>
              <w:lang w:val="en-CA"/>
            </w:rPr>
            <w:t>R</w:t>
          </w:r>
          <w:r w:rsidRPr="00D120AC">
            <w:rPr>
              <w:noProof/>
              <w:lang w:val="en-CA"/>
            </w:rPr>
            <w:t xml:space="preserve">egion,” </w:t>
          </w:r>
          <w:r w:rsidRPr="00D120AC">
            <w:rPr>
              <w:i/>
              <w:iCs/>
              <w:noProof/>
              <w:lang w:val="en-CA"/>
            </w:rPr>
            <w:t>J. Power Sources</w:t>
          </w:r>
          <w:r w:rsidRPr="00D120AC">
            <w:rPr>
              <w:noProof/>
              <w:lang w:val="en-CA"/>
            </w:rPr>
            <w:t>, vol. 159, no. 1 SPEC. ISS., pp. 420–430, 2006, doi: 10.1016/j.jpowsour.2006.02.044.</w:t>
          </w:r>
          <w:bookmarkEnd w:id="7"/>
        </w:p>
        <w:p w14:paraId="25A8613E" w14:textId="069BC57B" w:rsidR="00872A4B" w:rsidRPr="00D120AC" w:rsidRDefault="00872A4B" w:rsidP="00B15BDB">
          <w:pPr>
            <w:widowControl w:val="0"/>
            <w:autoSpaceDE w:val="0"/>
            <w:autoSpaceDN w:val="0"/>
            <w:adjustRightInd w:val="0"/>
            <w:ind w:left="640" w:hanging="640"/>
            <w:rPr>
              <w:color w:val="222222"/>
              <w:shd w:val="clear" w:color="auto" w:fill="FFFFFF"/>
              <w:lang w:val="en-CA"/>
            </w:rPr>
          </w:pPr>
          <w:r w:rsidRPr="00D120AC">
            <w:rPr>
              <w:color w:val="222222"/>
              <w:shd w:val="clear" w:color="auto" w:fill="FFFFFF"/>
              <w:lang w:val="en-CA"/>
            </w:rPr>
            <w:t>[4</w:t>
          </w:r>
          <w:r w:rsidR="00B15BDB">
            <w:rPr>
              <w:color w:val="222222"/>
              <w:shd w:val="clear" w:color="auto" w:fill="FFFFFF"/>
              <w:lang w:val="en-CA"/>
            </w:rPr>
            <w:t>8</w:t>
          </w:r>
          <w:r w:rsidRPr="00D120AC">
            <w:rPr>
              <w:color w:val="222222"/>
              <w:shd w:val="clear" w:color="auto" w:fill="FFFFFF"/>
              <w:lang w:val="en-CA"/>
            </w:rPr>
            <w:t>]</w:t>
          </w:r>
          <w:r w:rsidRPr="00D120AC">
            <w:rPr>
              <w:color w:val="222222"/>
              <w:shd w:val="clear" w:color="auto" w:fill="FFFFFF"/>
              <w:lang w:val="en-CA"/>
            </w:rPr>
            <w:tab/>
            <w:t xml:space="preserve">Jackson, J. K., M. E. De Rosa, and H. H. Winter. </w:t>
          </w:r>
          <w:r w:rsidR="006D7769" w:rsidRPr="00D120AC">
            <w:rPr>
              <w:noProof/>
              <w:lang w:val="en-CA"/>
            </w:rPr>
            <w:t>“</w:t>
          </w:r>
          <w:r w:rsidRPr="00B15BDB">
            <w:rPr>
              <w:color w:val="222222"/>
              <w:shd w:val="clear" w:color="auto" w:fill="FFFFFF"/>
              <w:lang w:val="en-CA"/>
            </w:rPr>
            <w:t xml:space="preserve">Molecular </w:t>
          </w:r>
          <w:r w:rsidR="00B15BDB" w:rsidRPr="00B15BDB">
            <w:rPr>
              <w:color w:val="222222"/>
              <w:shd w:val="clear" w:color="auto" w:fill="FFFFFF"/>
              <w:lang w:val="en-CA"/>
            </w:rPr>
            <w:t xml:space="preserve">Weight Dependence </w:t>
          </w:r>
          <w:r w:rsidR="00B15BDB">
            <w:rPr>
              <w:color w:val="222222"/>
              <w:shd w:val="clear" w:color="auto" w:fill="FFFFFF"/>
              <w:lang w:val="en-CA"/>
            </w:rPr>
            <w:t>o</w:t>
          </w:r>
          <w:r w:rsidR="00B15BDB" w:rsidRPr="00B15BDB">
            <w:rPr>
              <w:color w:val="222222"/>
              <w:shd w:val="clear" w:color="auto" w:fill="FFFFFF"/>
              <w:lang w:val="en-CA"/>
            </w:rPr>
            <w:t xml:space="preserve">f Relaxation Time Spectra </w:t>
          </w:r>
          <w:r w:rsidR="00B15BDB">
            <w:rPr>
              <w:color w:val="222222"/>
              <w:shd w:val="clear" w:color="auto" w:fill="FFFFFF"/>
              <w:lang w:val="en-CA"/>
            </w:rPr>
            <w:t>f</w:t>
          </w:r>
          <w:r w:rsidR="00B15BDB" w:rsidRPr="00B15BDB">
            <w:rPr>
              <w:color w:val="222222"/>
              <w:shd w:val="clear" w:color="auto" w:fill="FFFFFF"/>
              <w:lang w:val="en-CA"/>
            </w:rPr>
            <w:t xml:space="preserve">or </w:t>
          </w:r>
          <w:r w:rsidR="00B15BDB">
            <w:rPr>
              <w:color w:val="222222"/>
              <w:shd w:val="clear" w:color="auto" w:fill="FFFFFF"/>
              <w:lang w:val="en-CA"/>
            </w:rPr>
            <w:t>t</w:t>
          </w:r>
          <w:r w:rsidR="00B15BDB" w:rsidRPr="00B15BDB">
            <w:rPr>
              <w:color w:val="222222"/>
              <w:shd w:val="clear" w:color="auto" w:fill="FFFFFF"/>
              <w:lang w:val="en-CA"/>
            </w:rPr>
            <w:t xml:space="preserve">he Entanglement </w:t>
          </w:r>
          <w:r w:rsidR="00B15BDB">
            <w:rPr>
              <w:color w:val="222222"/>
              <w:shd w:val="clear" w:color="auto" w:fill="FFFFFF"/>
              <w:lang w:val="en-CA"/>
            </w:rPr>
            <w:t>a</w:t>
          </w:r>
          <w:r w:rsidR="00B15BDB" w:rsidRPr="00B15BDB">
            <w:rPr>
              <w:color w:val="222222"/>
              <w:shd w:val="clear" w:color="auto" w:fill="FFFFFF"/>
              <w:lang w:val="en-CA"/>
            </w:rPr>
            <w:t xml:space="preserve">nd Flow Behavior </w:t>
          </w:r>
          <w:r w:rsidR="00B15BDB">
            <w:rPr>
              <w:color w:val="222222"/>
              <w:shd w:val="clear" w:color="auto" w:fill="FFFFFF"/>
              <w:lang w:val="en-CA"/>
            </w:rPr>
            <w:t>o</w:t>
          </w:r>
          <w:r w:rsidR="00B15BDB" w:rsidRPr="00B15BDB">
            <w:rPr>
              <w:color w:val="222222"/>
              <w:shd w:val="clear" w:color="auto" w:fill="FFFFFF"/>
              <w:lang w:val="en-CA"/>
            </w:rPr>
            <w:t>f Monodisperse Linear Flexible Polymers</w:t>
          </w:r>
          <w:r w:rsidR="006D7769">
            <w:rPr>
              <w:color w:val="222222"/>
              <w:shd w:val="clear" w:color="auto" w:fill="FFFFFF"/>
              <w:lang w:val="en-CA"/>
            </w:rPr>
            <w:t>,</w:t>
          </w:r>
          <w:r w:rsidR="006D7769" w:rsidRPr="00D120AC">
            <w:rPr>
              <w:noProof/>
              <w:lang w:val="en-CA"/>
            </w:rPr>
            <w:t>”</w:t>
          </w:r>
          <w:r w:rsidRPr="00D120AC">
            <w:rPr>
              <w:color w:val="222222"/>
              <w:shd w:val="clear" w:color="auto" w:fill="FFFFFF"/>
              <w:lang w:val="en-CA"/>
            </w:rPr>
            <w:t xml:space="preserve"> </w:t>
          </w:r>
          <w:r w:rsidRPr="00D120AC">
            <w:rPr>
              <w:i/>
              <w:iCs/>
              <w:color w:val="222222"/>
              <w:shd w:val="clear" w:color="auto" w:fill="FFFFFF"/>
              <w:lang w:val="en-CA"/>
            </w:rPr>
            <w:t>Macromolecules</w:t>
          </w:r>
          <w:r w:rsidRPr="00D120AC">
            <w:rPr>
              <w:color w:val="222222"/>
              <w:shd w:val="clear" w:color="auto" w:fill="FFFFFF"/>
              <w:lang w:val="en-CA"/>
            </w:rPr>
            <w:t xml:space="preserve"> 27, no. 9 (1994): 2426-2431.</w:t>
          </w:r>
        </w:p>
        <w:p w14:paraId="47A75A05" w14:textId="6F0DEDBC" w:rsidR="00872A4B" w:rsidRPr="00D120AC" w:rsidRDefault="00872A4B" w:rsidP="00B15BDB">
          <w:pPr>
            <w:widowControl w:val="0"/>
            <w:autoSpaceDE w:val="0"/>
            <w:autoSpaceDN w:val="0"/>
            <w:adjustRightInd w:val="0"/>
            <w:ind w:left="640" w:hanging="640"/>
            <w:rPr>
              <w:color w:val="222222"/>
              <w:shd w:val="clear" w:color="auto" w:fill="FFFFFF"/>
              <w:lang w:val="en-CA"/>
            </w:rPr>
          </w:pPr>
          <w:r w:rsidRPr="00D120AC">
            <w:rPr>
              <w:color w:val="222222"/>
              <w:shd w:val="clear" w:color="auto" w:fill="FFFFFF"/>
              <w:lang w:val="en-CA"/>
            </w:rPr>
            <w:t>[</w:t>
          </w:r>
          <w:r w:rsidR="00B15BDB">
            <w:rPr>
              <w:color w:val="222222"/>
              <w:shd w:val="clear" w:color="auto" w:fill="FFFFFF"/>
              <w:lang w:val="en-CA"/>
            </w:rPr>
            <w:t>49</w:t>
          </w:r>
          <w:r w:rsidRPr="00D120AC">
            <w:rPr>
              <w:color w:val="222222"/>
              <w:shd w:val="clear" w:color="auto" w:fill="FFFFFF"/>
              <w:lang w:val="en-CA"/>
            </w:rPr>
            <w:t>]</w:t>
          </w:r>
          <w:r w:rsidRPr="00D120AC">
            <w:rPr>
              <w:color w:val="222222"/>
              <w:shd w:val="clear" w:color="auto" w:fill="FFFFFF"/>
              <w:lang w:val="en-CA"/>
            </w:rPr>
            <w:tab/>
            <w:t xml:space="preserve">Zheng, Jin, Mingxue Tang, and Yan‐Yan Hu. </w:t>
          </w:r>
          <w:r w:rsidR="0072172B" w:rsidRPr="00D120AC">
            <w:rPr>
              <w:noProof/>
              <w:lang w:val="en-CA"/>
            </w:rPr>
            <w:t>“</w:t>
          </w:r>
          <w:r w:rsidRPr="00D120AC">
            <w:rPr>
              <w:color w:val="222222"/>
              <w:shd w:val="clear" w:color="auto" w:fill="FFFFFF"/>
              <w:lang w:val="en-CA"/>
            </w:rPr>
            <w:t>Lithium</w:t>
          </w:r>
          <w:r w:rsidR="0072172B">
            <w:rPr>
              <w:color w:val="222222"/>
              <w:shd w:val="clear" w:color="auto" w:fill="FFFFFF"/>
              <w:lang w:val="en-CA"/>
            </w:rPr>
            <w:t>-</w:t>
          </w:r>
          <w:r w:rsidR="00B15BDB" w:rsidRPr="00D120AC">
            <w:rPr>
              <w:color w:val="222222"/>
              <w:shd w:val="clear" w:color="auto" w:fill="FFFFFF"/>
              <w:lang w:val="en-CA"/>
            </w:rPr>
            <w:t xml:space="preserve">Ion Pathway Within </w:t>
          </w:r>
          <w:r w:rsidRPr="00D120AC">
            <w:rPr>
              <w:color w:val="222222"/>
              <w:shd w:val="clear" w:color="auto" w:fill="FFFFFF"/>
              <w:lang w:val="en-CA"/>
            </w:rPr>
            <w:t>Li</w:t>
          </w:r>
          <w:r w:rsidRPr="00B15BDB">
            <w:rPr>
              <w:color w:val="222222"/>
              <w:shd w:val="clear" w:color="auto" w:fill="FFFFFF"/>
              <w:vertAlign w:val="subscript"/>
              <w:lang w:val="en-CA"/>
            </w:rPr>
            <w:t>7</w:t>
          </w:r>
          <w:r w:rsidRPr="00D120AC">
            <w:rPr>
              <w:color w:val="222222"/>
              <w:shd w:val="clear" w:color="auto" w:fill="FFFFFF"/>
              <w:lang w:val="en-CA"/>
            </w:rPr>
            <w:t>La</w:t>
          </w:r>
          <w:r w:rsidRPr="00B15BDB">
            <w:rPr>
              <w:color w:val="222222"/>
              <w:shd w:val="clear" w:color="auto" w:fill="FFFFFF"/>
              <w:vertAlign w:val="subscript"/>
              <w:lang w:val="en-CA"/>
            </w:rPr>
            <w:t>3</w:t>
          </w:r>
          <w:r w:rsidRPr="00D120AC">
            <w:rPr>
              <w:color w:val="222222"/>
              <w:shd w:val="clear" w:color="auto" w:fill="FFFFFF"/>
              <w:lang w:val="en-CA"/>
            </w:rPr>
            <w:t>Zr</w:t>
          </w:r>
          <w:r w:rsidRPr="00B15BDB">
            <w:rPr>
              <w:color w:val="222222"/>
              <w:shd w:val="clear" w:color="auto" w:fill="FFFFFF"/>
              <w:vertAlign w:val="subscript"/>
              <w:lang w:val="en-CA"/>
            </w:rPr>
            <w:t>2</w:t>
          </w:r>
          <w:r w:rsidRPr="00D120AC">
            <w:rPr>
              <w:color w:val="222222"/>
              <w:shd w:val="clear" w:color="auto" w:fill="FFFFFF"/>
              <w:lang w:val="en-CA"/>
            </w:rPr>
            <w:t>O</w:t>
          </w:r>
          <w:r w:rsidRPr="00B15BDB">
            <w:rPr>
              <w:color w:val="222222"/>
              <w:shd w:val="clear" w:color="auto" w:fill="FFFFFF"/>
              <w:vertAlign w:val="subscript"/>
              <w:lang w:val="en-CA"/>
            </w:rPr>
            <w:t>12</w:t>
          </w:r>
          <w:r w:rsidR="00B15BDB" w:rsidRPr="00D120AC">
            <w:rPr>
              <w:color w:val="222222"/>
              <w:shd w:val="clear" w:color="auto" w:fill="FFFFFF"/>
              <w:lang w:val="en-CA"/>
            </w:rPr>
            <w:t>‐Polyethylene Oxide Composite Electrolytes</w:t>
          </w:r>
          <w:r w:rsidR="006D7769">
            <w:rPr>
              <w:color w:val="222222"/>
              <w:shd w:val="clear" w:color="auto" w:fill="FFFFFF"/>
              <w:lang w:val="en-CA"/>
            </w:rPr>
            <w:t>,</w:t>
          </w:r>
          <w:r w:rsidR="006D7769" w:rsidRPr="00D120AC">
            <w:rPr>
              <w:noProof/>
              <w:lang w:val="en-CA"/>
            </w:rPr>
            <w:t>”</w:t>
          </w:r>
          <w:r w:rsidR="0072172B">
            <w:rPr>
              <w:noProof/>
              <w:lang w:val="en-CA"/>
            </w:rPr>
            <w:t xml:space="preserve"> </w:t>
          </w:r>
          <w:r w:rsidRPr="00D120AC">
            <w:rPr>
              <w:i/>
              <w:iCs/>
              <w:color w:val="222222"/>
              <w:shd w:val="clear" w:color="auto" w:fill="FFFFFF"/>
              <w:lang w:val="en-CA"/>
            </w:rPr>
            <w:t xml:space="preserve">Angewandte Chemie </w:t>
          </w:r>
          <w:r w:rsidRPr="00D120AC">
            <w:rPr>
              <w:color w:val="222222"/>
              <w:shd w:val="clear" w:color="auto" w:fill="FFFFFF"/>
              <w:lang w:val="en-CA"/>
            </w:rPr>
            <w:t>128, no. 40 (2016): 12726-12730.</w:t>
          </w:r>
        </w:p>
        <w:p w14:paraId="2DA7920E" w14:textId="38E0BA23" w:rsidR="003D1B44" w:rsidRPr="00D120AC" w:rsidRDefault="003D1B44" w:rsidP="00B15BDB">
          <w:pPr>
            <w:widowControl w:val="0"/>
            <w:autoSpaceDE w:val="0"/>
            <w:autoSpaceDN w:val="0"/>
            <w:adjustRightInd w:val="0"/>
            <w:ind w:left="640" w:hanging="640"/>
            <w:rPr>
              <w:color w:val="222222"/>
              <w:shd w:val="clear" w:color="auto" w:fill="FFFFFF"/>
              <w:lang w:val="en-CA"/>
            </w:rPr>
          </w:pPr>
          <w:r w:rsidRPr="00D120AC">
            <w:rPr>
              <w:color w:val="222222"/>
              <w:shd w:val="clear" w:color="auto" w:fill="FFFFFF"/>
              <w:lang w:val="en-CA"/>
            </w:rPr>
            <w:t>[</w:t>
          </w:r>
          <w:r w:rsidR="004768BC">
            <w:rPr>
              <w:color w:val="222222"/>
              <w:shd w:val="clear" w:color="auto" w:fill="FFFFFF"/>
              <w:lang w:val="en-CA"/>
            </w:rPr>
            <w:t>5</w:t>
          </w:r>
          <w:r w:rsidR="00B15BDB">
            <w:rPr>
              <w:color w:val="222222"/>
              <w:shd w:val="clear" w:color="auto" w:fill="FFFFFF"/>
              <w:lang w:val="en-CA"/>
            </w:rPr>
            <w:t>0</w:t>
          </w:r>
          <w:r w:rsidRPr="00D120AC">
            <w:rPr>
              <w:color w:val="222222"/>
              <w:shd w:val="clear" w:color="auto" w:fill="FFFFFF"/>
              <w:lang w:val="en-CA"/>
            </w:rPr>
            <w:t>]</w:t>
          </w:r>
          <w:r w:rsidRPr="00D120AC">
            <w:rPr>
              <w:color w:val="222222"/>
              <w:shd w:val="clear" w:color="auto" w:fill="FFFFFF"/>
              <w:lang w:val="en-CA"/>
            </w:rPr>
            <w:tab/>
            <w:t xml:space="preserve">Schön, Nino, Deniz Cihan Gunduz, Shicheng Yu, Hermann Tempel, Roland Schierholz, and Florian Hausen. </w:t>
          </w:r>
          <w:r w:rsidR="0072172B" w:rsidRPr="00D120AC">
            <w:rPr>
              <w:noProof/>
              <w:lang w:val="en-CA"/>
            </w:rPr>
            <w:t>“</w:t>
          </w:r>
          <w:r w:rsidRPr="00D120AC">
            <w:rPr>
              <w:color w:val="222222"/>
              <w:shd w:val="clear" w:color="auto" w:fill="FFFFFF"/>
              <w:lang w:val="en-CA"/>
            </w:rPr>
            <w:t xml:space="preserve">Correlative </w:t>
          </w:r>
          <w:r w:rsidR="00B30E9E">
            <w:rPr>
              <w:color w:val="222222"/>
              <w:shd w:val="clear" w:color="auto" w:fill="FFFFFF"/>
              <w:lang w:val="en-CA"/>
            </w:rPr>
            <w:t>E</w:t>
          </w:r>
          <w:r w:rsidRPr="00D120AC">
            <w:rPr>
              <w:color w:val="222222"/>
              <w:shd w:val="clear" w:color="auto" w:fill="FFFFFF"/>
              <w:lang w:val="en-CA"/>
            </w:rPr>
            <w:t xml:space="preserve">lectrochemical </w:t>
          </w:r>
          <w:r w:rsidR="00B30E9E">
            <w:rPr>
              <w:color w:val="222222"/>
              <w:shd w:val="clear" w:color="auto" w:fill="FFFFFF"/>
              <w:lang w:val="en-CA"/>
            </w:rPr>
            <w:t>S</w:t>
          </w:r>
          <w:r w:rsidRPr="00D120AC">
            <w:rPr>
              <w:color w:val="222222"/>
              <w:shd w:val="clear" w:color="auto" w:fill="FFFFFF"/>
              <w:lang w:val="en-CA"/>
            </w:rPr>
            <w:t xml:space="preserve">train and </w:t>
          </w:r>
          <w:r w:rsidR="00B30E9E">
            <w:rPr>
              <w:color w:val="222222"/>
              <w:shd w:val="clear" w:color="auto" w:fill="FFFFFF"/>
              <w:lang w:val="en-CA"/>
            </w:rPr>
            <w:t>S</w:t>
          </w:r>
          <w:r w:rsidRPr="00D120AC">
            <w:rPr>
              <w:color w:val="222222"/>
              <w:shd w:val="clear" w:color="auto" w:fill="FFFFFF"/>
              <w:lang w:val="en-CA"/>
            </w:rPr>
            <w:t xml:space="preserve">canning </w:t>
          </w:r>
          <w:r w:rsidR="00B30E9E">
            <w:rPr>
              <w:color w:val="222222"/>
              <w:shd w:val="clear" w:color="auto" w:fill="FFFFFF"/>
              <w:lang w:val="en-CA"/>
            </w:rPr>
            <w:t>E</w:t>
          </w:r>
          <w:r w:rsidRPr="00D120AC">
            <w:rPr>
              <w:color w:val="222222"/>
              <w:shd w:val="clear" w:color="auto" w:fill="FFFFFF"/>
              <w:lang w:val="en-CA"/>
            </w:rPr>
            <w:t xml:space="preserve">lectron </w:t>
          </w:r>
          <w:r w:rsidR="00B30E9E">
            <w:rPr>
              <w:color w:val="222222"/>
              <w:shd w:val="clear" w:color="auto" w:fill="FFFFFF"/>
              <w:lang w:val="en-CA"/>
            </w:rPr>
            <w:t>M</w:t>
          </w:r>
          <w:r w:rsidRPr="00D120AC">
            <w:rPr>
              <w:color w:val="222222"/>
              <w:shd w:val="clear" w:color="auto" w:fill="FFFFFF"/>
              <w:lang w:val="en-CA"/>
            </w:rPr>
            <w:t xml:space="preserve">icroscopy for </w:t>
          </w:r>
          <w:r w:rsidR="00B30E9E">
            <w:rPr>
              <w:color w:val="222222"/>
              <w:shd w:val="clear" w:color="auto" w:fill="FFFFFF"/>
              <w:lang w:val="en-CA"/>
            </w:rPr>
            <w:t>L</w:t>
          </w:r>
          <w:r w:rsidRPr="00D120AC">
            <w:rPr>
              <w:color w:val="222222"/>
              <w:shd w:val="clear" w:color="auto" w:fill="FFFFFF"/>
              <w:lang w:val="en-CA"/>
            </w:rPr>
            <w:t xml:space="preserve">ocal </w:t>
          </w:r>
          <w:r w:rsidR="00B30E9E">
            <w:rPr>
              <w:color w:val="222222"/>
              <w:shd w:val="clear" w:color="auto" w:fill="FFFFFF"/>
              <w:lang w:val="en-CA"/>
            </w:rPr>
            <w:t>C</w:t>
          </w:r>
          <w:r w:rsidRPr="00D120AC">
            <w:rPr>
              <w:color w:val="222222"/>
              <w:shd w:val="clear" w:color="auto" w:fill="FFFFFF"/>
              <w:lang w:val="en-CA"/>
            </w:rPr>
            <w:t xml:space="preserve">haracterization of the </w:t>
          </w:r>
          <w:r w:rsidR="00B30E9E">
            <w:rPr>
              <w:color w:val="222222"/>
              <w:shd w:val="clear" w:color="auto" w:fill="FFFFFF"/>
              <w:lang w:val="en-CA"/>
            </w:rPr>
            <w:t>S</w:t>
          </w:r>
          <w:r w:rsidRPr="00D120AC">
            <w:rPr>
              <w:color w:val="222222"/>
              <w:shd w:val="clear" w:color="auto" w:fill="FFFFFF"/>
              <w:lang w:val="en-CA"/>
            </w:rPr>
            <w:t>olid</w:t>
          </w:r>
          <w:r w:rsidR="0072172B">
            <w:rPr>
              <w:color w:val="222222"/>
              <w:shd w:val="clear" w:color="auto" w:fill="FFFFFF"/>
              <w:lang w:val="en-CA"/>
            </w:rPr>
            <w:t>-</w:t>
          </w:r>
          <w:r w:rsidRPr="00D120AC">
            <w:rPr>
              <w:color w:val="222222"/>
              <w:shd w:val="clear" w:color="auto" w:fill="FFFFFF"/>
              <w:lang w:val="en-CA"/>
            </w:rPr>
            <w:t xml:space="preserve">state </w:t>
          </w:r>
          <w:r w:rsidR="00B30E9E">
            <w:rPr>
              <w:color w:val="222222"/>
              <w:shd w:val="clear" w:color="auto" w:fill="FFFFFF"/>
              <w:lang w:val="en-CA"/>
            </w:rPr>
            <w:t>E</w:t>
          </w:r>
          <w:r w:rsidRPr="00D120AC">
            <w:rPr>
              <w:color w:val="222222"/>
              <w:shd w:val="clear" w:color="auto" w:fill="FFFFFF"/>
              <w:lang w:val="en-CA"/>
            </w:rPr>
            <w:t>lectrolyte Li</w:t>
          </w:r>
          <w:r w:rsidRPr="0072172B">
            <w:rPr>
              <w:color w:val="222222"/>
              <w:shd w:val="clear" w:color="auto" w:fill="FFFFFF"/>
              <w:vertAlign w:val="subscript"/>
              <w:lang w:val="en-CA"/>
            </w:rPr>
            <w:t>1.3</w:t>
          </w:r>
          <w:r w:rsidRPr="00D120AC">
            <w:rPr>
              <w:color w:val="222222"/>
              <w:shd w:val="clear" w:color="auto" w:fill="FFFFFF"/>
              <w:lang w:val="en-CA"/>
            </w:rPr>
            <w:t>Al</w:t>
          </w:r>
          <w:r w:rsidRPr="0072172B">
            <w:rPr>
              <w:color w:val="222222"/>
              <w:shd w:val="clear" w:color="auto" w:fill="FFFFFF"/>
              <w:vertAlign w:val="subscript"/>
              <w:lang w:val="en-CA"/>
            </w:rPr>
            <w:t>0.3</w:t>
          </w:r>
          <w:r w:rsidRPr="00D120AC">
            <w:rPr>
              <w:color w:val="222222"/>
              <w:shd w:val="clear" w:color="auto" w:fill="FFFFFF"/>
              <w:lang w:val="en-CA"/>
            </w:rPr>
            <w:t>Ti</w:t>
          </w:r>
          <w:r w:rsidRPr="0072172B">
            <w:rPr>
              <w:color w:val="222222"/>
              <w:shd w:val="clear" w:color="auto" w:fill="FFFFFF"/>
              <w:vertAlign w:val="subscript"/>
              <w:lang w:val="en-CA"/>
            </w:rPr>
            <w:t>1.7</w:t>
          </w:r>
          <w:r w:rsidRPr="00D120AC">
            <w:rPr>
              <w:color w:val="222222"/>
              <w:shd w:val="clear" w:color="auto" w:fill="FFFFFF"/>
              <w:lang w:val="en-CA"/>
            </w:rPr>
            <w:t>(PO</w:t>
          </w:r>
          <w:r w:rsidRPr="0072172B">
            <w:rPr>
              <w:color w:val="222222"/>
              <w:shd w:val="clear" w:color="auto" w:fill="FFFFFF"/>
              <w:vertAlign w:val="subscript"/>
              <w:lang w:val="en-CA"/>
            </w:rPr>
            <w:t>4</w:t>
          </w:r>
          <w:r w:rsidRPr="00D120AC">
            <w:rPr>
              <w:color w:val="222222"/>
              <w:shd w:val="clear" w:color="auto" w:fill="FFFFFF"/>
              <w:lang w:val="en-CA"/>
            </w:rPr>
            <w:t>)</w:t>
          </w:r>
          <w:r w:rsidRPr="0072172B">
            <w:rPr>
              <w:color w:val="222222"/>
              <w:shd w:val="clear" w:color="auto" w:fill="FFFFFF"/>
              <w:vertAlign w:val="subscript"/>
              <w:lang w:val="en-CA"/>
            </w:rPr>
            <w:t>3</w:t>
          </w:r>
          <w:r w:rsidR="006D7769">
            <w:rPr>
              <w:noProof/>
              <w:lang w:val="en-CA"/>
            </w:rPr>
            <w:t>,</w:t>
          </w:r>
          <w:r w:rsidR="006D7769" w:rsidRPr="00D120AC">
            <w:rPr>
              <w:noProof/>
              <w:lang w:val="en-CA"/>
            </w:rPr>
            <w:t>”</w:t>
          </w:r>
          <w:r w:rsidR="0072172B" w:rsidRPr="00D120AC">
            <w:rPr>
              <w:color w:val="222222"/>
              <w:shd w:val="clear" w:color="auto" w:fill="FFFFFF"/>
              <w:lang w:val="en-CA"/>
            </w:rPr>
            <w:t xml:space="preserve"> </w:t>
          </w:r>
          <w:r w:rsidRPr="0072172B">
            <w:rPr>
              <w:i/>
              <w:iCs/>
              <w:color w:val="222222"/>
              <w:shd w:val="clear" w:color="auto" w:fill="FFFFFF"/>
              <w:lang w:val="en-CA"/>
            </w:rPr>
            <w:t xml:space="preserve">Beilstein </w:t>
          </w:r>
          <w:r w:rsidR="0072172B">
            <w:rPr>
              <w:i/>
              <w:iCs/>
              <w:color w:val="222222"/>
              <w:shd w:val="clear" w:color="auto" w:fill="FFFFFF"/>
              <w:lang w:val="en-CA"/>
            </w:rPr>
            <w:t>J</w:t>
          </w:r>
          <w:r w:rsidRPr="0072172B">
            <w:rPr>
              <w:i/>
              <w:iCs/>
              <w:color w:val="222222"/>
              <w:shd w:val="clear" w:color="auto" w:fill="FFFFFF"/>
              <w:lang w:val="en-CA"/>
            </w:rPr>
            <w:t xml:space="preserve">ournal of </w:t>
          </w:r>
          <w:r w:rsidR="0072172B">
            <w:rPr>
              <w:i/>
              <w:iCs/>
              <w:color w:val="222222"/>
              <w:shd w:val="clear" w:color="auto" w:fill="FFFFFF"/>
              <w:lang w:val="en-CA"/>
            </w:rPr>
            <w:t>N</w:t>
          </w:r>
          <w:r w:rsidRPr="0072172B">
            <w:rPr>
              <w:i/>
              <w:iCs/>
              <w:color w:val="222222"/>
              <w:shd w:val="clear" w:color="auto" w:fill="FFFFFF"/>
              <w:lang w:val="en-CA"/>
            </w:rPr>
            <w:t>anotechnology</w:t>
          </w:r>
          <w:r w:rsidR="0072172B">
            <w:rPr>
              <w:color w:val="222222"/>
              <w:shd w:val="clear" w:color="auto" w:fill="FFFFFF"/>
              <w:lang w:val="en-CA"/>
            </w:rPr>
            <w:t xml:space="preserve"> </w:t>
          </w:r>
          <w:r w:rsidRPr="00D120AC">
            <w:rPr>
              <w:color w:val="222222"/>
              <w:shd w:val="clear" w:color="auto" w:fill="FFFFFF"/>
              <w:lang w:val="en-CA"/>
            </w:rPr>
            <w:t>9, no. 1 (2018): 1564-1572.</w:t>
          </w:r>
        </w:p>
        <w:p w14:paraId="4304C4DD" w14:textId="0961AFA6" w:rsidR="003D1B44" w:rsidRDefault="003D1B44" w:rsidP="00B15BDB">
          <w:pPr>
            <w:widowControl w:val="0"/>
            <w:autoSpaceDE w:val="0"/>
            <w:autoSpaceDN w:val="0"/>
            <w:adjustRightInd w:val="0"/>
            <w:ind w:left="640" w:hanging="640"/>
            <w:rPr>
              <w:color w:val="222222"/>
              <w:shd w:val="clear" w:color="auto" w:fill="FFFFFF"/>
              <w:lang w:val="en-CA"/>
            </w:rPr>
          </w:pPr>
          <w:r w:rsidRPr="008112B8">
            <w:rPr>
              <w:color w:val="222222"/>
              <w:shd w:val="clear" w:color="auto" w:fill="FFFFFF"/>
              <w:lang w:val="de-DE"/>
            </w:rPr>
            <w:lastRenderedPageBreak/>
            <w:t>[5</w:t>
          </w:r>
          <w:r w:rsidR="00B15BDB" w:rsidRPr="008112B8">
            <w:rPr>
              <w:color w:val="222222"/>
              <w:shd w:val="clear" w:color="auto" w:fill="FFFFFF"/>
              <w:lang w:val="de-DE"/>
            </w:rPr>
            <w:t>1</w:t>
          </w:r>
          <w:r w:rsidRPr="008112B8">
            <w:rPr>
              <w:color w:val="222222"/>
              <w:shd w:val="clear" w:color="auto" w:fill="FFFFFF"/>
              <w:lang w:val="de-DE"/>
            </w:rPr>
            <w:t>]</w:t>
          </w:r>
          <w:r w:rsidRPr="008112B8">
            <w:rPr>
              <w:color w:val="222222"/>
              <w:shd w:val="clear" w:color="auto" w:fill="FFFFFF"/>
              <w:lang w:val="de-DE"/>
            </w:rPr>
            <w:tab/>
            <w:t xml:space="preserve">Veelken, Philipp M., Maike Wirtz, Roland Schierholz, Hermann Tempel, Hans </w:t>
          </w:r>
          <w:proofErr w:type="spellStart"/>
          <w:r w:rsidRPr="008112B8">
            <w:rPr>
              <w:color w:val="222222"/>
              <w:shd w:val="clear" w:color="auto" w:fill="FFFFFF"/>
              <w:lang w:val="de-DE"/>
            </w:rPr>
            <w:t>Kungl</w:t>
          </w:r>
          <w:proofErr w:type="spellEnd"/>
          <w:r w:rsidRPr="008112B8">
            <w:rPr>
              <w:color w:val="222222"/>
              <w:shd w:val="clear" w:color="auto" w:fill="FFFFFF"/>
              <w:lang w:val="de-DE"/>
            </w:rPr>
            <w:t xml:space="preserve">, Rüdiger-A. </w:t>
          </w:r>
          <w:r w:rsidRPr="00D120AC">
            <w:rPr>
              <w:color w:val="222222"/>
              <w:shd w:val="clear" w:color="auto" w:fill="FFFFFF"/>
              <w:lang w:val="en-CA"/>
            </w:rPr>
            <w:t xml:space="preserve">Eichel, and Florian Hausen </w:t>
          </w:r>
          <w:r w:rsidR="0072172B" w:rsidRPr="00D120AC">
            <w:rPr>
              <w:noProof/>
              <w:lang w:val="en-CA"/>
            </w:rPr>
            <w:t>“</w:t>
          </w:r>
          <w:r w:rsidRPr="00D120AC">
            <w:rPr>
              <w:color w:val="222222"/>
              <w:shd w:val="clear" w:color="auto" w:fill="FFFFFF"/>
              <w:lang w:val="en-CA"/>
            </w:rPr>
            <w:t>Investigating the Interface between Ceramic Particles and Polymer Matrix in Hybrid Electrolytes by Electrochemical Strain Microscopy</w:t>
          </w:r>
          <w:r w:rsidR="006D7769">
            <w:rPr>
              <w:color w:val="222222"/>
              <w:shd w:val="clear" w:color="auto" w:fill="FFFFFF"/>
              <w:lang w:val="en-CA"/>
            </w:rPr>
            <w:t>,</w:t>
          </w:r>
          <w:r w:rsidR="006D7769" w:rsidRPr="00D120AC">
            <w:rPr>
              <w:noProof/>
              <w:lang w:val="en-CA"/>
            </w:rPr>
            <w:t>”</w:t>
          </w:r>
          <w:r w:rsidR="00FB6373">
            <w:rPr>
              <w:color w:val="222222"/>
              <w:shd w:val="clear" w:color="auto" w:fill="FFFFFF"/>
              <w:lang w:val="en-CA"/>
            </w:rPr>
            <w:t xml:space="preserve"> </w:t>
          </w:r>
          <w:r w:rsidRPr="0072172B">
            <w:rPr>
              <w:i/>
              <w:iCs/>
              <w:color w:val="222222"/>
              <w:shd w:val="clear" w:color="auto" w:fill="FFFFFF"/>
              <w:lang w:val="en-CA"/>
            </w:rPr>
            <w:t>Nanomaterials</w:t>
          </w:r>
          <w:r w:rsidR="00FB6373">
            <w:rPr>
              <w:color w:val="222222"/>
              <w:shd w:val="clear" w:color="auto" w:fill="FFFFFF"/>
              <w:lang w:val="en-CA"/>
            </w:rPr>
            <w:t xml:space="preserve"> </w:t>
          </w:r>
          <w:r w:rsidRPr="00D120AC">
            <w:rPr>
              <w:color w:val="222222"/>
              <w:shd w:val="clear" w:color="auto" w:fill="FFFFFF"/>
              <w:lang w:val="en-CA"/>
            </w:rPr>
            <w:t>12, no. 4 (2022): 654.</w:t>
          </w:r>
        </w:p>
        <w:p w14:paraId="16612705" w14:textId="07754AE9" w:rsidR="00805346" w:rsidRPr="000A5098" w:rsidRDefault="00805346" w:rsidP="00805346">
          <w:pPr>
            <w:widowControl w:val="0"/>
            <w:autoSpaceDE w:val="0"/>
            <w:autoSpaceDN w:val="0"/>
            <w:adjustRightInd w:val="0"/>
            <w:ind w:left="640" w:hanging="640"/>
            <w:rPr>
              <w:rFonts w:ascii="Times New Roman" w:hAnsi="Times New Roman"/>
              <w:color w:val="222222"/>
              <w:shd w:val="clear" w:color="auto" w:fill="FFFFFF"/>
              <w:lang w:val="en-CA"/>
            </w:rPr>
          </w:pPr>
          <w:r w:rsidRPr="000A5098">
            <w:rPr>
              <w:rFonts w:ascii="Times New Roman" w:hAnsi="Times New Roman"/>
              <w:color w:val="222222"/>
              <w:szCs w:val="24"/>
              <w:shd w:val="clear" w:color="auto" w:fill="FFFFFF"/>
            </w:rPr>
            <w:t>[52]</w:t>
          </w:r>
          <w:r w:rsidRPr="000A5098">
            <w:rPr>
              <w:rFonts w:ascii="Times New Roman" w:hAnsi="Times New Roman"/>
              <w:color w:val="222222"/>
              <w:szCs w:val="24"/>
              <w:shd w:val="clear" w:color="auto" w:fill="FFFFFF"/>
            </w:rPr>
            <w:tab/>
          </w:r>
          <w:r w:rsidRPr="000A5098">
            <w:rPr>
              <w:rFonts w:ascii="Times New Roman" w:hAnsi="Times New Roman"/>
              <w:color w:val="222222"/>
              <w:shd w:val="clear" w:color="auto" w:fill="FFFFFF"/>
              <w:lang w:val="en-CA"/>
            </w:rPr>
            <w:t xml:space="preserve">Wu, B., Wang, S., Lochala, J., Desrochers, D., Liu, B., Zhang, W., Yang, J. and Xiao, J. </w:t>
          </w:r>
          <w:r w:rsidRPr="00D120AC">
            <w:rPr>
              <w:noProof/>
              <w:lang w:val="en-CA"/>
            </w:rPr>
            <w:t>“</w:t>
          </w:r>
          <w:r w:rsidRPr="000A5098">
            <w:rPr>
              <w:rFonts w:ascii="Times New Roman" w:hAnsi="Times New Roman"/>
              <w:color w:val="222222"/>
              <w:shd w:val="clear" w:color="auto" w:fill="FFFFFF"/>
              <w:lang w:val="en-CA"/>
            </w:rPr>
            <w:t xml:space="preserve">The </w:t>
          </w:r>
          <w:r w:rsidR="00B30E9E">
            <w:rPr>
              <w:rFonts w:ascii="Times New Roman" w:hAnsi="Times New Roman"/>
              <w:color w:val="222222"/>
              <w:shd w:val="clear" w:color="auto" w:fill="FFFFFF"/>
              <w:lang w:val="en-CA"/>
            </w:rPr>
            <w:t>R</w:t>
          </w:r>
          <w:r w:rsidRPr="000A5098">
            <w:rPr>
              <w:rFonts w:ascii="Times New Roman" w:hAnsi="Times New Roman"/>
              <w:color w:val="222222"/>
              <w:shd w:val="clear" w:color="auto" w:fill="FFFFFF"/>
              <w:lang w:val="en-CA"/>
            </w:rPr>
            <w:t xml:space="preserve">ole of the </w:t>
          </w:r>
          <w:r w:rsidR="00B30E9E">
            <w:rPr>
              <w:rFonts w:ascii="Times New Roman" w:hAnsi="Times New Roman"/>
              <w:color w:val="222222"/>
              <w:shd w:val="clear" w:color="auto" w:fill="FFFFFF"/>
              <w:lang w:val="en-CA"/>
            </w:rPr>
            <w:t>S</w:t>
          </w:r>
          <w:r w:rsidRPr="000A5098">
            <w:rPr>
              <w:rFonts w:ascii="Times New Roman" w:hAnsi="Times New Roman"/>
              <w:color w:val="222222"/>
              <w:shd w:val="clear" w:color="auto" w:fill="FFFFFF"/>
              <w:lang w:val="en-CA"/>
            </w:rPr>
            <w:t xml:space="preserve">olid </w:t>
          </w:r>
          <w:r w:rsidR="00B30E9E">
            <w:rPr>
              <w:rFonts w:ascii="Times New Roman" w:hAnsi="Times New Roman"/>
              <w:color w:val="222222"/>
              <w:shd w:val="clear" w:color="auto" w:fill="FFFFFF"/>
              <w:lang w:val="en-CA"/>
            </w:rPr>
            <w:t>E</w:t>
          </w:r>
          <w:r w:rsidRPr="000A5098">
            <w:rPr>
              <w:rFonts w:ascii="Times New Roman" w:hAnsi="Times New Roman"/>
              <w:color w:val="222222"/>
              <w:shd w:val="clear" w:color="auto" w:fill="FFFFFF"/>
              <w:lang w:val="en-CA"/>
            </w:rPr>
            <w:t xml:space="preserve">lectrolyte </w:t>
          </w:r>
          <w:r w:rsidR="00B30E9E">
            <w:rPr>
              <w:rFonts w:ascii="Times New Roman" w:hAnsi="Times New Roman"/>
              <w:color w:val="222222"/>
              <w:shd w:val="clear" w:color="auto" w:fill="FFFFFF"/>
              <w:lang w:val="en-CA"/>
            </w:rPr>
            <w:t>I</w:t>
          </w:r>
          <w:r w:rsidRPr="000A5098">
            <w:rPr>
              <w:rFonts w:ascii="Times New Roman" w:hAnsi="Times New Roman"/>
              <w:color w:val="222222"/>
              <w:shd w:val="clear" w:color="auto" w:fill="FFFFFF"/>
              <w:lang w:val="en-CA"/>
            </w:rPr>
            <w:t xml:space="preserve">nterphase </w:t>
          </w:r>
          <w:r w:rsidR="00B30E9E">
            <w:rPr>
              <w:rFonts w:ascii="Times New Roman" w:hAnsi="Times New Roman"/>
              <w:color w:val="222222"/>
              <w:shd w:val="clear" w:color="auto" w:fill="FFFFFF"/>
              <w:lang w:val="en-CA"/>
            </w:rPr>
            <w:t>L</w:t>
          </w:r>
          <w:r w:rsidRPr="000A5098">
            <w:rPr>
              <w:rFonts w:ascii="Times New Roman" w:hAnsi="Times New Roman"/>
              <w:color w:val="222222"/>
              <w:shd w:val="clear" w:color="auto" w:fill="FFFFFF"/>
              <w:lang w:val="en-CA"/>
            </w:rPr>
            <w:t xml:space="preserve">ayer in </w:t>
          </w:r>
          <w:r w:rsidR="00B30E9E">
            <w:rPr>
              <w:rFonts w:ascii="Times New Roman" w:hAnsi="Times New Roman"/>
              <w:color w:val="222222"/>
              <w:shd w:val="clear" w:color="auto" w:fill="FFFFFF"/>
              <w:lang w:val="en-CA"/>
            </w:rPr>
            <w:t>P</w:t>
          </w:r>
          <w:r w:rsidRPr="000A5098">
            <w:rPr>
              <w:rFonts w:ascii="Times New Roman" w:hAnsi="Times New Roman"/>
              <w:color w:val="222222"/>
              <w:shd w:val="clear" w:color="auto" w:fill="FFFFFF"/>
              <w:lang w:val="en-CA"/>
            </w:rPr>
            <w:t xml:space="preserve">reventing Li </w:t>
          </w:r>
          <w:r w:rsidR="00B30E9E">
            <w:rPr>
              <w:rFonts w:ascii="Times New Roman" w:hAnsi="Times New Roman"/>
              <w:color w:val="222222"/>
              <w:shd w:val="clear" w:color="auto" w:fill="FFFFFF"/>
              <w:lang w:val="en-CA"/>
            </w:rPr>
            <w:t>D</w:t>
          </w:r>
          <w:r w:rsidRPr="000A5098">
            <w:rPr>
              <w:rFonts w:ascii="Times New Roman" w:hAnsi="Times New Roman"/>
              <w:color w:val="222222"/>
              <w:shd w:val="clear" w:color="auto" w:fill="FFFFFF"/>
              <w:lang w:val="en-CA"/>
            </w:rPr>
            <w:t xml:space="preserve">endrite </w:t>
          </w:r>
          <w:r w:rsidR="00B30E9E">
            <w:rPr>
              <w:rFonts w:ascii="Times New Roman" w:hAnsi="Times New Roman"/>
              <w:color w:val="222222"/>
              <w:shd w:val="clear" w:color="auto" w:fill="FFFFFF"/>
              <w:lang w:val="en-CA"/>
            </w:rPr>
            <w:t>G</w:t>
          </w:r>
          <w:r w:rsidRPr="000A5098">
            <w:rPr>
              <w:rFonts w:ascii="Times New Roman" w:hAnsi="Times New Roman"/>
              <w:color w:val="222222"/>
              <w:shd w:val="clear" w:color="auto" w:fill="FFFFFF"/>
              <w:lang w:val="en-CA"/>
            </w:rPr>
            <w:t xml:space="preserve">rowth in </w:t>
          </w:r>
          <w:r w:rsidR="00B30E9E">
            <w:rPr>
              <w:rFonts w:ascii="Times New Roman" w:hAnsi="Times New Roman"/>
              <w:color w:val="222222"/>
              <w:shd w:val="clear" w:color="auto" w:fill="FFFFFF"/>
              <w:lang w:val="en-CA"/>
            </w:rPr>
            <w:t>S</w:t>
          </w:r>
          <w:r w:rsidRPr="000A5098">
            <w:rPr>
              <w:rFonts w:ascii="Times New Roman" w:hAnsi="Times New Roman"/>
              <w:color w:val="222222"/>
              <w:shd w:val="clear" w:color="auto" w:fill="FFFFFF"/>
              <w:lang w:val="en-CA"/>
            </w:rPr>
            <w:t>olid-</w:t>
          </w:r>
          <w:r w:rsidR="00B30E9E">
            <w:rPr>
              <w:rFonts w:ascii="Times New Roman" w:hAnsi="Times New Roman"/>
              <w:color w:val="222222"/>
              <w:shd w:val="clear" w:color="auto" w:fill="FFFFFF"/>
              <w:lang w:val="en-CA"/>
            </w:rPr>
            <w:t>S</w:t>
          </w:r>
          <w:r w:rsidRPr="000A5098">
            <w:rPr>
              <w:rFonts w:ascii="Times New Roman" w:hAnsi="Times New Roman"/>
              <w:color w:val="222222"/>
              <w:shd w:val="clear" w:color="auto" w:fill="FFFFFF"/>
              <w:lang w:val="en-CA"/>
            </w:rPr>
            <w:t xml:space="preserve">tate </w:t>
          </w:r>
          <w:r w:rsidR="00B30E9E">
            <w:rPr>
              <w:rFonts w:ascii="Times New Roman" w:hAnsi="Times New Roman"/>
              <w:color w:val="222222"/>
              <w:shd w:val="clear" w:color="auto" w:fill="FFFFFF"/>
              <w:lang w:val="en-CA"/>
            </w:rPr>
            <w:t>B</w:t>
          </w:r>
          <w:r w:rsidRPr="000A5098">
            <w:rPr>
              <w:rFonts w:ascii="Times New Roman" w:hAnsi="Times New Roman"/>
              <w:color w:val="222222"/>
              <w:shd w:val="clear" w:color="auto" w:fill="FFFFFF"/>
              <w:lang w:val="en-CA"/>
            </w:rPr>
            <w:t>atteries</w:t>
          </w:r>
          <w:r>
            <w:rPr>
              <w:rFonts w:ascii="Times New Roman" w:hAnsi="Times New Roman"/>
              <w:color w:val="222222"/>
              <w:shd w:val="clear" w:color="auto" w:fill="FFFFFF"/>
              <w:lang w:val="en-CA"/>
            </w:rPr>
            <w:t>,</w:t>
          </w:r>
          <w:r w:rsidRPr="00D120AC">
            <w:rPr>
              <w:noProof/>
              <w:lang w:val="en-CA"/>
            </w:rPr>
            <w:t>”</w:t>
          </w:r>
          <w:r>
            <w:rPr>
              <w:rFonts w:ascii="Times New Roman" w:hAnsi="Times New Roman"/>
              <w:color w:val="222222"/>
              <w:shd w:val="clear" w:color="auto" w:fill="FFFFFF"/>
              <w:lang w:val="en-CA"/>
            </w:rPr>
            <w:t xml:space="preserve"> </w:t>
          </w:r>
          <w:r w:rsidRPr="000A5098">
            <w:rPr>
              <w:rFonts w:ascii="Times New Roman" w:hAnsi="Times New Roman"/>
              <w:i/>
              <w:iCs/>
              <w:color w:val="222222"/>
              <w:shd w:val="clear" w:color="auto" w:fill="FFFFFF"/>
              <w:lang w:val="en-CA"/>
            </w:rPr>
            <w:t>Energy &amp; Environmental Science</w:t>
          </w:r>
          <w:r w:rsidRPr="000A5098">
            <w:rPr>
              <w:rFonts w:ascii="Times New Roman" w:hAnsi="Times New Roman"/>
              <w:color w:val="222222"/>
              <w:shd w:val="clear" w:color="auto" w:fill="FFFFFF"/>
              <w:lang w:val="en-CA"/>
            </w:rPr>
            <w:t>,</w:t>
          </w:r>
          <w:r>
            <w:rPr>
              <w:rFonts w:ascii="Times New Roman" w:hAnsi="Times New Roman"/>
              <w:color w:val="222222"/>
              <w:shd w:val="clear" w:color="auto" w:fill="FFFFFF"/>
              <w:lang w:val="en-CA"/>
            </w:rPr>
            <w:t xml:space="preserve"> 2018, </w:t>
          </w:r>
          <w:r w:rsidRPr="000A5098">
            <w:rPr>
              <w:rFonts w:ascii="Times New Roman" w:hAnsi="Times New Roman"/>
              <w:color w:val="222222"/>
              <w:shd w:val="clear" w:color="auto" w:fill="FFFFFF"/>
              <w:lang w:val="en-CA"/>
            </w:rPr>
            <w:t>11(7), pp.1803-1810.</w:t>
          </w:r>
        </w:p>
        <w:p w14:paraId="2822AA82" w14:textId="4A389529" w:rsidR="00805346" w:rsidRPr="000A5098" w:rsidRDefault="00805346" w:rsidP="00805346">
          <w:pPr>
            <w:widowControl w:val="0"/>
            <w:autoSpaceDE w:val="0"/>
            <w:autoSpaceDN w:val="0"/>
            <w:adjustRightInd w:val="0"/>
            <w:ind w:left="640" w:hanging="640"/>
            <w:rPr>
              <w:rFonts w:ascii="Times New Roman" w:hAnsi="Times New Roman"/>
              <w:color w:val="222222"/>
              <w:shd w:val="clear" w:color="auto" w:fill="FFFFFF"/>
              <w:lang w:val="en-CA"/>
            </w:rPr>
          </w:pPr>
          <w:r w:rsidRPr="000A5098">
            <w:rPr>
              <w:rFonts w:ascii="Times New Roman" w:hAnsi="Times New Roman"/>
              <w:color w:val="222222"/>
              <w:shd w:val="clear" w:color="auto" w:fill="FFFFFF"/>
              <w:lang w:val="en-CA"/>
            </w:rPr>
            <w:t>[53]</w:t>
          </w:r>
          <w:r w:rsidRPr="000A5098">
            <w:rPr>
              <w:rFonts w:ascii="Times New Roman" w:hAnsi="Times New Roman"/>
              <w:color w:val="222222"/>
              <w:shd w:val="clear" w:color="auto" w:fill="FFFFFF"/>
              <w:lang w:val="en-CA"/>
            </w:rPr>
            <w:tab/>
            <w:t xml:space="preserve">Ren, Y., Shen, Y., Lin, </w:t>
          </w:r>
          <w:proofErr w:type="gramStart"/>
          <w:r w:rsidRPr="000A5098">
            <w:rPr>
              <w:rFonts w:ascii="Times New Roman" w:hAnsi="Times New Roman"/>
              <w:color w:val="222222"/>
              <w:shd w:val="clear" w:color="auto" w:fill="FFFFFF"/>
              <w:lang w:val="en-CA"/>
            </w:rPr>
            <w:t>Y.</w:t>
          </w:r>
          <w:proofErr w:type="gramEnd"/>
          <w:r w:rsidRPr="000A5098">
            <w:rPr>
              <w:rFonts w:ascii="Times New Roman" w:hAnsi="Times New Roman"/>
              <w:color w:val="222222"/>
              <w:shd w:val="clear" w:color="auto" w:fill="FFFFFF"/>
              <w:lang w:val="en-CA"/>
            </w:rPr>
            <w:t xml:space="preserve"> and Nan, C.W. </w:t>
          </w:r>
          <w:r w:rsidRPr="00D120AC">
            <w:rPr>
              <w:noProof/>
              <w:lang w:val="en-CA"/>
            </w:rPr>
            <w:t>“</w:t>
          </w:r>
          <w:r w:rsidRPr="000A5098">
            <w:rPr>
              <w:rFonts w:ascii="Times New Roman" w:hAnsi="Times New Roman"/>
              <w:color w:val="222222"/>
              <w:shd w:val="clear" w:color="auto" w:fill="FFFFFF"/>
              <w:lang w:val="en-CA"/>
            </w:rPr>
            <w:t xml:space="preserve">Direct </w:t>
          </w:r>
          <w:r w:rsidR="00B30E9E">
            <w:rPr>
              <w:rFonts w:ascii="Times New Roman" w:hAnsi="Times New Roman"/>
              <w:color w:val="222222"/>
              <w:shd w:val="clear" w:color="auto" w:fill="FFFFFF"/>
              <w:lang w:val="en-CA"/>
            </w:rPr>
            <w:t>O</w:t>
          </w:r>
          <w:r w:rsidRPr="000A5098">
            <w:rPr>
              <w:rFonts w:ascii="Times New Roman" w:hAnsi="Times New Roman"/>
              <w:color w:val="222222"/>
              <w:shd w:val="clear" w:color="auto" w:fill="FFFFFF"/>
              <w:lang w:val="en-CA"/>
            </w:rPr>
            <w:t xml:space="preserve">bservation of </w:t>
          </w:r>
          <w:r w:rsidR="00B30E9E">
            <w:rPr>
              <w:rFonts w:ascii="Times New Roman" w:hAnsi="Times New Roman"/>
              <w:color w:val="222222"/>
              <w:shd w:val="clear" w:color="auto" w:fill="FFFFFF"/>
              <w:lang w:val="en-CA"/>
            </w:rPr>
            <w:t>L</w:t>
          </w:r>
          <w:r w:rsidRPr="000A5098">
            <w:rPr>
              <w:rFonts w:ascii="Times New Roman" w:hAnsi="Times New Roman"/>
              <w:color w:val="222222"/>
              <w:shd w:val="clear" w:color="auto" w:fill="FFFFFF"/>
              <w:lang w:val="en-CA"/>
            </w:rPr>
            <w:t xml:space="preserve">ithium </w:t>
          </w:r>
          <w:r w:rsidR="00B30E9E">
            <w:rPr>
              <w:rFonts w:ascii="Times New Roman" w:hAnsi="Times New Roman"/>
              <w:color w:val="222222"/>
              <w:shd w:val="clear" w:color="auto" w:fill="FFFFFF"/>
              <w:lang w:val="en-CA"/>
            </w:rPr>
            <w:t>D</w:t>
          </w:r>
          <w:r w:rsidRPr="000A5098">
            <w:rPr>
              <w:rFonts w:ascii="Times New Roman" w:hAnsi="Times New Roman"/>
              <w:color w:val="222222"/>
              <w:shd w:val="clear" w:color="auto" w:fill="FFFFFF"/>
              <w:lang w:val="en-CA"/>
            </w:rPr>
            <w:t xml:space="preserve">endrites </w:t>
          </w:r>
          <w:r w:rsidR="00B30E9E">
            <w:rPr>
              <w:rFonts w:ascii="Times New Roman" w:hAnsi="Times New Roman"/>
              <w:color w:val="222222"/>
              <w:shd w:val="clear" w:color="auto" w:fill="FFFFFF"/>
              <w:lang w:val="en-CA"/>
            </w:rPr>
            <w:t>I</w:t>
          </w:r>
          <w:r w:rsidRPr="000A5098">
            <w:rPr>
              <w:rFonts w:ascii="Times New Roman" w:hAnsi="Times New Roman"/>
              <w:color w:val="222222"/>
              <w:shd w:val="clear" w:color="auto" w:fill="FFFFFF"/>
              <w:lang w:val="en-CA"/>
            </w:rPr>
            <w:t xml:space="preserve">nside </w:t>
          </w:r>
          <w:r w:rsidR="00B30E9E">
            <w:rPr>
              <w:rFonts w:ascii="Times New Roman" w:hAnsi="Times New Roman"/>
              <w:color w:val="222222"/>
              <w:shd w:val="clear" w:color="auto" w:fill="FFFFFF"/>
              <w:lang w:val="en-CA"/>
            </w:rPr>
            <w:t>G</w:t>
          </w:r>
          <w:r w:rsidRPr="000A5098">
            <w:rPr>
              <w:rFonts w:ascii="Times New Roman" w:hAnsi="Times New Roman"/>
              <w:color w:val="222222"/>
              <w:shd w:val="clear" w:color="auto" w:fill="FFFFFF"/>
              <w:lang w:val="en-CA"/>
            </w:rPr>
            <w:t>arnet-</w:t>
          </w:r>
          <w:r w:rsidR="00B30E9E">
            <w:rPr>
              <w:rFonts w:ascii="Times New Roman" w:hAnsi="Times New Roman"/>
              <w:color w:val="222222"/>
              <w:shd w:val="clear" w:color="auto" w:fill="FFFFFF"/>
              <w:lang w:val="en-CA"/>
            </w:rPr>
            <w:t>T</w:t>
          </w:r>
          <w:r w:rsidRPr="000A5098">
            <w:rPr>
              <w:rFonts w:ascii="Times New Roman" w:hAnsi="Times New Roman"/>
              <w:color w:val="222222"/>
              <w:shd w:val="clear" w:color="auto" w:fill="FFFFFF"/>
              <w:lang w:val="en-CA"/>
            </w:rPr>
            <w:t xml:space="preserve">ype </w:t>
          </w:r>
          <w:r w:rsidR="00B30E9E">
            <w:rPr>
              <w:rFonts w:ascii="Times New Roman" w:hAnsi="Times New Roman"/>
              <w:color w:val="222222"/>
              <w:shd w:val="clear" w:color="auto" w:fill="FFFFFF"/>
              <w:lang w:val="en-CA"/>
            </w:rPr>
            <w:t>L</w:t>
          </w:r>
          <w:r w:rsidRPr="000A5098">
            <w:rPr>
              <w:rFonts w:ascii="Times New Roman" w:hAnsi="Times New Roman"/>
              <w:color w:val="222222"/>
              <w:shd w:val="clear" w:color="auto" w:fill="FFFFFF"/>
              <w:lang w:val="en-CA"/>
            </w:rPr>
            <w:t>ithium-</w:t>
          </w:r>
          <w:r w:rsidR="00B30E9E">
            <w:rPr>
              <w:rFonts w:ascii="Times New Roman" w:hAnsi="Times New Roman"/>
              <w:color w:val="222222"/>
              <w:shd w:val="clear" w:color="auto" w:fill="FFFFFF"/>
              <w:lang w:val="en-CA"/>
            </w:rPr>
            <w:t>I</w:t>
          </w:r>
          <w:r w:rsidRPr="000A5098">
            <w:rPr>
              <w:rFonts w:ascii="Times New Roman" w:hAnsi="Times New Roman"/>
              <w:color w:val="222222"/>
              <w:shd w:val="clear" w:color="auto" w:fill="FFFFFF"/>
              <w:lang w:val="en-CA"/>
            </w:rPr>
            <w:t xml:space="preserve">on </w:t>
          </w:r>
          <w:r w:rsidR="00B30E9E">
            <w:rPr>
              <w:rFonts w:ascii="Times New Roman" w:hAnsi="Times New Roman"/>
              <w:color w:val="222222"/>
              <w:shd w:val="clear" w:color="auto" w:fill="FFFFFF"/>
              <w:lang w:val="en-CA"/>
            </w:rPr>
            <w:t>S</w:t>
          </w:r>
          <w:r w:rsidRPr="000A5098">
            <w:rPr>
              <w:rFonts w:ascii="Times New Roman" w:hAnsi="Times New Roman"/>
              <w:color w:val="222222"/>
              <w:shd w:val="clear" w:color="auto" w:fill="FFFFFF"/>
              <w:lang w:val="en-CA"/>
            </w:rPr>
            <w:t xml:space="preserve">olid </w:t>
          </w:r>
          <w:r w:rsidR="00B30E9E">
            <w:rPr>
              <w:rFonts w:ascii="Times New Roman" w:hAnsi="Times New Roman"/>
              <w:color w:val="222222"/>
              <w:shd w:val="clear" w:color="auto" w:fill="FFFFFF"/>
              <w:lang w:val="en-CA"/>
            </w:rPr>
            <w:t>E</w:t>
          </w:r>
          <w:r w:rsidRPr="000A5098">
            <w:rPr>
              <w:rFonts w:ascii="Times New Roman" w:hAnsi="Times New Roman"/>
              <w:color w:val="222222"/>
              <w:shd w:val="clear" w:color="auto" w:fill="FFFFFF"/>
              <w:lang w:val="en-CA"/>
            </w:rPr>
            <w:t>lectrolyte</w:t>
          </w:r>
          <w:r>
            <w:rPr>
              <w:rFonts w:ascii="Times New Roman" w:hAnsi="Times New Roman"/>
              <w:color w:val="222222"/>
              <w:shd w:val="clear" w:color="auto" w:fill="FFFFFF"/>
              <w:lang w:val="en-CA"/>
            </w:rPr>
            <w:t>,</w:t>
          </w:r>
          <w:r w:rsidRPr="00D120AC">
            <w:rPr>
              <w:noProof/>
              <w:lang w:val="en-CA"/>
            </w:rPr>
            <w:t>”</w:t>
          </w:r>
          <w:r>
            <w:rPr>
              <w:rFonts w:ascii="Times New Roman" w:hAnsi="Times New Roman"/>
              <w:color w:val="222222"/>
              <w:shd w:val="clear" w:color="auto" w:fill="FFFFFF"/>
              <w:lang w:val="en-CA"/>
            </w:rPr>
            <w:t xml:space="preserve"> </w:t>
          </w:r>
          <w:r w:rsidRPr="000A5098">
            <w:rPr>
              <w:rFonts w:ascii="Times New Roman" w:hAnsi="Times New Roman"/>
              <w:i/>
              <w:iCs/>
              <w:color w:val="222222"/>
              <w:shd w:val="clear" w:color="auto" w:fill="FFFFFF"/>
              <w:lang w:val="en-CA"/>
            </w:rPr>
            <w:t>Electrochemistry Communications</w:t>
          </w:r>
          <w:r w:rsidRPr="000A5098">
            <w:rPr>
              <w:rFonts w:ascii="Times New Roman" w:hAnsi="Times New Roman"/>
              <w:color w:val="222222"/>
              <w:shd w:val="clear" w:color="auto" w:fill="FFFFFF"/>
              <w:lang w:val="en-CA"/>
            </w:rPr>
            <w:t>,</w:t>
          </w:r>
          <w:r>
            <w:rPr>
              <w:rFonts w:ascii="Times New Roman" w:hAnsi="Times New Roman"/>
              <w:color w:val="222222"/>
              <w:shd w:val="clear" w:color="auto" w:fill="FFFFFF"/>
              <w:lang w:val="en-CA"/>
            </w:rPr>
            <w:t xml:space="preserve"> 2015, </w:t>
          </w:r>
          <w:r w:rsidRPr="000A5098">
            <w:rPr>
              <w:rFonts w:ascii="Times New Roman" w:hAnsi="Times New Roman"/>
              <w:color w:val="222222"/>
              <w:shd w:val="clear" w:color="auto" w:fill="FFFFFF"/>
              <w:lang w:val="en-CA"/>
            </w:rPr>
            <w:t>57, pp.27-30.</w:t>
          </w:r>
        </w:p>
        <w:p w14:paraId="039C28CF" w14:textId="77777777" w:rsidR="00805346" w:rsidRPr="00D120AC" w:rsidRDefault="00805346" w:rsidP="00B15BDB">
          <w:pPr>
            <w:widowControl w:val="0"/>
            <w:autoSpaceDE w:val="0"/>
            <w:autoSpaceDN w:val="0"/>
            <w:adjustRightInd w:val="0"/>
            <w:ind w:left="640" w:hanging="640"/>
            <w:rPr>
              <w:color w:val="222222"/>
              <w:shd w:val="clear" w:color="auto" w:fill="FFFFFF"/>
              <w:lang w:val="en-CA"/>
            </w:rPr>
          </w:pPr>
        </w:p>
        <w:p w14:paraId="7A354B21" w14:textId="4203A3FF" w:rsidR="00872A4B" w:rsidRPr="00091D28" w:rsidRDefault="00872A4B" w:rsidP="00872A4B">
          <w:pPr>
            <w:spacing w:line="276" w:lineRule="auto"/>
            <w:rPr>
              <w:rFonts w:eastAsiaTheme="majorEastAsia" w:cstheme="majorBidi"/>
              <w:b/>
              <w:color w:val="000000" w:themeColor="text1"/>
              <w:sz w:val="32"/>
              <w:szCs w:val="32"/>
              <w:lang w:val="en-CA"/>
            </w:rPr>
          </w:pPr>
          <w:r w:rsidRPr="00D120AC">
            <w:rPr>
              <w:rStyle w:val="berschrift1Zchn"/>
            </w:rPr>
            <w:fldChar w:fldCharType="end"/>
          </w:r>
        </w:p>
      </w:sdtContent>
    </w:sdt>
    <w:p w14:paraId="1BB51C18" w14:textId="77777777" w:rsidR="0064646B" w:rsidRDefault="0064646B" w:rsidP="00C9776A">
      <w:pPr>
        <w:rPr>
          <w:noProof/>
        </w:rPr>
      </w:pPr>
    </w:p>
    <w:p w14:paraId="774BC21D" w14:textId="5DD3A6DC" w:rsidR="00815160" w:rsidRPr="00C9776A" w:rsidRDefault="0064646B" w:rsidP="00C9776A">
      <w:pPr>
        <w:rPr>
          <w:lang w:val="en-CA"/>
        </w:rPr>
      </w:pPr>
      <w:r>
        <w:rPr>
          <w:noProof/>
        </w:rPr>
        <w:drawing>
          <wp:inline distT="0" distB="0" distL="0" distR="0" wp14:anchorId="3E6353CF" wp14:editId="1578FECC">
            <wp:extent cx="5759450" cy="311560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115601"/>
                    </a:xfrm>
                    <a:prstGeom prst="rect">
                      <a:avLst/>
                    </a:prstGeom>
                    <a:noFill/>
                    <a:ln>
                      <a:noFill/>
                    </a:ln>
                  </pic:spPr>
                </pic:pic>
              </a:graphicData>
            </a:graphic>
          </wp:inline>
        </w:drawing>
      </w:r>
    </w:p>
    <w:sectPr w:rsidR="00815160" w:rsidRPr="00C9776A" w:rsidSect="00A407E5">
      <w:headerReference w:type="default" r:id="rId31"/>
      <w:footerReference w:type="default" r:id="rId32"/>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B46A1" w14:textId="77777777" w:rsidR="001146F7" w:rsidRDefault="001146F7">
      <w:r>
        <w:separator/>
      </w:r>
    </w:p>
  </w:endnote>
  <w:endnote w:type="continuationSeparator" w:id="0">
    <w:p w14:paraId="7E5FC259" w14:textId="77777777" w:rsidR="001146F7" w:rsidRDefault="0011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dvOT999035f4">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817633"/>
      <w:docPartObj>
        <w:docPartGallery w:val="Page Numbers (Bottom of Page)"/>
        <w:docPartUnique/>
      </w:docPartObj>
    </w:sdtPr>
    <w:sdtEndPr>
      <w:rPr>
        <w:noProof/>
      </w:rPr>
    </w:sdtEndPr>
    <w:sdtContent>
      <w:p w14:paraId="1D906796" w14:textId="77777777" w:rsidR="00872A4B" w:rsidRDefault="00872A4B">
        <w:pPr>
          <w:pStyle w:val="Fuzeile"/>
          <w:jc w:val="center"/>
        </w:pPr>
        <w:r>
          <w:fldChar w:fldCharType="begin"/>
        </w:r>
        <w:r>
          <w:instrText xml:space="preserve"> PAGE   \* MERGEFORMAT </w:instrText>
        </w:r>
        <w:r>
          <w:fldChar w:fldCharType="separate"/>
        </w:r>
        <w:r>
          <w:rPr>
            <w:noProof/>
          </w:rPr>
          <w:t>1</w:t>
        </w:r>
        <w:r>
          <w:rPr>
            <w:noProof/>
          </w:rPr>
          <w:fldChar w:fldCharType="end"/>
        </w:r>
      </w:p>
    </w:sdtContent>
  </w:sdt>
  <w:p w14:paraId="47E2B9F0" w14:textId="77777777" w:rsidR="00872A4B" w:rsidRDefault="00872A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Fuzeile"/>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5A6DC" w14:textId="77777777" w:rsidR="001146F7" w:rsidRDefault="001146F7">
      <w:r>
        <w:separator/>
      </w:r>
    </w:p>
  </w:footnote>
  <w:footnote w:type="continuationSeparator" w:id="0">
    <w:p w14:paraId="44987F3B" w14:textId="77777777" w:rsidR="001146F7" w:rsidRDefault="0011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0200A192" w:rsidR="00562E2B" w:rsidRPr="009B44CC" w:rsidRDefault="00562E2B" w:rsidP="009B44CC">
    <w:pPr>
      <w:pStyle w:val="Kopfzeile"/>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C51FD"/>
    <w:multiLevelType w:val="multilevel"/>
    <w:tmpl w:val="C748B62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5E16382"/>
    <w:multiLevelType w:val="multilevel"/>
    <w:tmpl w:val="7DFC9F92"/>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5A0FE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9E93E44"/>
    <w:multiLevelType w:val="multilevel"/>
    <w:tmpl w:val="83548EA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560E1B73"/>
    <w:multiLevelType w:val="hybridMultilevel"/>
    <w:tmpl w:val="9AFA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077C01"/>
    <w:multiLevelType w:val="multilevel"/>
    <w:tmpl w:val="E7FC5592"/>
    <w:lvl w:ilvl="0">
      <w:start w:val="1"/>
      <w:numFmt w:val="decimal"/>
      <w:lvlText w:val="%1"/>
      <w:lvlJc w:val="left"/>
      <w:pPr>
        <w:ind w:left="432" w:hanging="432"/>
      </w:pPr>
    </w:lvl>
    <w:lvl w:ilvl="1">
      <w:start w:val="1"/>
      <w:numFmt w:val="decimal"/>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34437F9"/>
    <w:multiLevelType w:val="hybridMultilevel"/>
    <w:tmpl w:val="0C5A41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642782380">
    <w:abstractNumId w:val="14"/>
  </w:num>
  <w:num w:numId="2" w16cid:durableId="1523200754">
    <w:abstractNumId w:val="12"/>
  </w:num>
  <w:num w:numId="3" w16cid:durableId="6752947">
    <w:abstractNumId w:val="4"/>
  </w:num>
  <w:num w:numId="4" w16cid:durableId="1427076147">
    <w:abstractNumId w:val="11"/>
  </w:num>
  <w:num w:numId="5" w16cid:durableId="1030302069">
    <w:abstractNumId w:val="1"/>
  </w:num>
  <w:num w:numId="6" w16cid:durableId="896740203">
    <w:abstractNumId w:val="13"/>
  </w:num>
  <w:num w:numId="7" w16cid:durableId="176117926">
    <w:abstractNumId w:val="0"/>
  </w:num>
  <w:num w:numId="8" w16cid:durableId="95834365">
    <w:abstractNumId w:val="11"/>
  </w:num>
  <w:num w:numId="9" w16cid:durableId="2110616604">
    <w:abstractNumId w:val="11"/>
  </w:num>
  <w:num w:numId="10" w16cid:durableId="135800750">
    <w:abstractNumId w:val="11"/>
  </w:num>
  <w:num w:numId="11" w16cid:durableId="1852984634">
    <w:abstractNumId w:val="9"/>
  </w:num>
  <w:num w:numId="12" w16cid:durableId="1649825408">
    <w:abstractNumId w:val="7"/>
  </w:num>
  <w:num w:numId="13" w16cid:durableId="1153109734">
    <w:abstractNumId w:val="10"/>
  </w:num>
  <w:num w:numId="14" w16cid:durableId="1143691588">
    <w:abstractNumId w:val="8"/>
  </w:num>
  <w:num w:numId="15" w16cid:durableId="1117987520">
    <w:abstractNumId w:val="6"/>
  </w:num>
  <w:num w:numId="16" w16cid:durableId="1384140491">
    <w:abstractNumId w:val="5"/>
  </w:num>
  <w:num w:numId="17" w16cid:durableId="2093432949">
    <w:abstractNumId w:val="3"/>
  </w:num>
  <w:num w:numId="18" w16cid:durableId="1275490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5424"/>
    <w:rsid w:val="00006A0A"/>
    <w:rsid w:val="0000703E"/>
    <w:rsid w:val="000112FC"/>
    <w:rsid w:val="000118B0"/>
    <w:rsid w:val="00011F40"/>
    <w:rsid w:val="0001454A"/>
    <w:rsid w:val="0001683C"/>
    <w:rsid w:val="000172E7"/>
    <w:rsid w:val="000214A8"/>
    <w:rsid w:val="00023F64"/>
    <w:rsid w:val="00027FB5"/>
    <w:rsid w:val="000314D2"/>
    <w:rsid w:val="000324A6"/>
    <w:rsid w:val="0003318F"/>
    <w:rsid w:val="0004094E"/>
    <w:rsid w:val="00040B7B"/>
    <w:rsid w:val="00041C1B"/>
    <w:rsid w:val="000437F7"/>
    <w:rsid w:val="000479E5"/>
    <w:rsid w:val="00050985"/>
    <w:rsid w:val="00051C74"/>
    <w:rsid w:val="00052EC3"/>
    <w:rsid w:val="0005501E"/>
    <w:rsid w:val="00055883"/>
    <w:rsid w:val="0006044D"/>
    <w:rsid w:val="00060D37"/>
    <w:rsid w:val="00062324"/>
    <w:rsid w:val="00063C0E"/>
    <w:rsid w:val="00072EA7"/>
    <w:rsid w:val="00076EAD"/>
    <w:rsid w:val="0008287E"/>
    <w:rsid w:val="00083031"/>
    <w:rsid w:val="00086B91"/>
    <w:rsid w:val="0008740B"/>
    <w:rsid w:val="000904D3"/>
    <w:rsid w:val="00091112"/>
    <w:rsid w:val="00091D28"/>
    <w:rsid w:val="0009309C"/>
    <w:rsid w:val="00093F1B"/>
    <w:rsid w:val="000A1F4B"/>
    <w:rsid w:val="000A21A9"/>
    <w:rsid w:val="000A3E93"/>
    <w:rsid w:val="000A472C"/>
    <w:rsid w:val="000A5773"/>
    <w:rsid w:val="000A61C9"/>
    <w:rsid w:val="000A682F"/>
    <w:rsid w:val="000B05A0"/>
    <w:rsid w:val="000B33EE"/>
    <w:rsid w:val="000B4293"/>
    <w:rsid w:val="000C259E"/>
    <w:rsid w:val="000C3E0C"/>
    <w:rsid w:val="000C6252"/>
    <w:rsid w:val="000C6F8A"/>
    <w:rsid w:val="000C74E8"/>
    <w:rsid w:val="000D2D4B"/>
    <w:rsid w:val="000D45F4"/>
    <w:rsid w:val="000D5AB4"/>
    <w:rsid w:val="000D66DB"/>
    <w:rsid w:val="000D7EBA"/>
    <w:rsid w:val="000E49EE"/>
    <w:rsid w:val="000E7153"/>
    <w:rsid w:val="000E788B"/>
    <w:rsid w:val="000E7A5B"/>
    <w:rsid w:val="000E7BBA"/>
    <w:rsid w:val="000F37D2"/>
    <w:rsid w:val="000F512F"/>
    <w:rsid w:val="001008D4"/>
    <w:rsid w:val="001013F4"/>
    <w:rsid w:val="001054D4"/>
    <w:rsid w:val="00105807"/>
    <w:rsid w:val="0010686C"/>
    <w:rsid w:val="00107C5F"/>
    <w:rsid w:val="00107CCC"/>
    <w:rsid w:val="00110011"/>
    <w:rsid w:val="001105BD"/>
    <w:rsid w:val="001123D7"/>
    <w:rsid w:val="001146F7"/>
    <w:rsid w:val="00116C82"/>
    <w:rsid w:val="00120E85"/>
    <w:rsid w:val="00123ADA"/>
    <w:rsid w:val="00125573"/>
    <w:rsid w:val="0012642A"/>
    <w:rsid w:val="00126D17"/>
    <w:rsid w:val="00127F69"/>
    <w:rsid w:val="001305BF"/>
    <w:rsid w:val="00131D58"/>
    <w:rsid w:val="00133F75"/>
    <w:rsid w:val="001370B1"/>
    <w:rsid w:val="001377CA"/>
    <w:rsid w:val="00140B94"/>
    <w:rsid w:val="001419AD"/>
    <w:rsid w:val="001450FB"/>
    <w:rsid w:val="0014658A"/>
    <w:rsid w:val="001472BB"/>
    <w:rsid w:val="001477DD"/>
    <w:rsid w:val="00147DB8"/>
    <w:rsid w:val="00150D1A"/>
    <w:rsid w:val="00151683"/>
    <w:rsid w:val="00151B3D"/>
    <w:rsid w:val="0015392F"/>
    <w:rsid w:val="0015563E"/>
    <w:rsid w:val="001559A2"/>
    <w:rsid w:val="00155F66"/>
    <w:rsid w:val="0016390D"/>
    <w:rsid w:val="00164057"/>
    <w:rsid w:val="00165B37"/>
    <w:rsid w:val="00165BDF"/>
    <w:rsid w:val="0017000A"/>
    <w:rsid w:val="00170369"/>
    <w:rsid w:val="001712EE"/>
    <w:rsid w:val="0017288E"/>
    <w:rsid w:val="00173757"/>
    <w:rsid w:val="00174176"/>
    <w:rsid w:val="00175A24"/>
    <w:rsid w:val="00181D92"/>
    <w:rsid w:val="001823B6"/>
    <w:rsid w:val="001848EB"/>
    <w:rsid w:val="00186852"/>
    <w:rsid w:val="00187DB9"/>
    <w:rsid w:val="0019077D"/>
    <w:rsid w:val="0019194D"/>
    <w:rsid w:val="00194AB5"/>
    <w:rsid w:val="0019723B"/>
    <w:rsid w:val="0019767A"/>
    <w:rsid w:val="001A2021"/>
    <w:rsid w:val="001A4240"/>
    <w:rsid w:val="001A4558"/>
    <w:rsid w:val="001A6821"/>
    <w:rsid w:val="001A7204"/>
    <w:rsid w:val="001A734D"/>
    <w:rsid w:val="001B363D"/>
    <w:rsid w:val="001B4224"/>
    <w:rsid w:val="001B5D70"/>
    <w:rsid w:val="001B674E"/>
    <w:rsid w:val="001B7472"/>
    <w:rsid w:val="001C10AC"/>
    <w:rsid w:val="001C4F0A"/>
    <w:rsid w:val="001C55FB"/>
    <w:rsid w:val="001D12BC"/>
    <w:rsid w:val="001D561D"/>
    <w:rsid w:val="001D7D77"/>
    <w:rsid w:val="001E18CC"/>
    <w:rsid w:val="001E3D2D"/>
    <w:rsid w:val="001E4605"/>
    <w:rsid w:val="001E5F4E"/>
    <w:rsid w:val="001E74E1"/>
    <w:rsid w:val="001F11F8"/>
    <w:rsid w:val="001F2689"/>
    <w:rsid w:val="001F2AB7"/>
    <w:rsid w:val="001F3C9B"/>
    <w:rsid w:val="001F3E77"/>
    <w:rsid w:val="001F4BD1"/>
    <w:rsid w:val="001F5110"/>
    <w:rsid w:val="001F5702"/>
    <w:rsid w:val="001F65A2"/>
    <w:rsid w:val="001F764E"/>
    <w:rsid w:val="002002FC"/>
    <w:rsid w:val="00201F71"/>
    <w:rsid w:val="00203934"/>
    <w:rsid w:val="0020446B"/>
    <w:rsid w:val="00204BA7"/>
    <w:rsid w:val="00204E3E"/>
    <w:rsid w:val="002072AB"/>
    <w:rsid w:val="00210140"/>
    <w:rsid w:val="00211942"/>
    <w:rsid w:val="00214D95"/>
    <w:rsid w:val="00215324"/>
    <w:rsid w:val="00215531"/>
    <w:rsid w:val="002162B2"/>
    <w:rsid w:val="00216F54"/>
    <w:rsid w:val="00220933"/>
    <w:rsid w:val="00220C72"/>
    <w:rsid w:val="00222177"/>
    <w:rsid w:val="0022540C"/>
    <w:rsid w:val="002267C9"/>
    <w:rsid w:val="00226AA4"/>
    <w:rsid w:val="00231F93"/>
    <w:rsid w:val="00233C8A"/>
    <w:rsid w:val="00234CA4"/>
    <w:rsid w:val="00236036"/>
    <w:rsid w:val="00240D90"/>
    <w:rsid w:val="00240DA6"/>
    <w:rsid w:val="00253CB1"/>
    <w:rsid w:val="002543F9"/>
    <w:rsid w:val="00254A98"/>
    <w:rsid w:val="002566E9"/>
    <w:rsid w:val="00256922"/>
    <w:rsid w:val="00257ADD"/>
    <w:rsid w:val="00257D21"/>
    <w:rsid w:val="00263723"/>
    <w:rsid w:val="00263CF8"/>
    <w:rsid w:val="00264EB7"/>
    <w:rsid w:val="00265635"/>
    <w:rsid w:val="00266389"/>
    <w:rsid w:val="00266C44"/>
    <w:rsid w:val="002675F7"/>
    <w:rsid w:val="002725A5"/>
    <w:rsid w:val="0027299E"/>
    <w:rsid w:val="0027314F"/>
    <w:rsid w:val="00277DA4"/>
    <w:rsid w:val="0028289F"/>
    <w:rsid w:val="00284157"/>
    <w:rsid w:val="00285631"/>
    <w:rsid w:val="00290D94"/>
    <w:rsid w:val="0029203C"/>
    <w:rsid w:val="00294821"/>
    <w:rsid w:val="00294873"/>
    <w:rsid w:val="002A4624"/>
    <w:rsid w:val="002A4A81"/>
    <w:rsid w:val="002A73A2"/>
    <w:rsid w:val="002A7CE8"/>
    <w:rsid w:val="002B0671"/>
    <w:rsid w:val="002B24C4"/>
    <w:rsid w:val="002B262F"/>
    <w:rsid w:val="002B3553"/>
    <w:rsid w:val="002B5E06"/>
    <w:rsid w:val="002C0CFF"/>
    <w:rsid w:val="002C32CE"/>
    <w:rsid w:val="002C3C18"/>
    <w:rsid w:val="002D09B9"/>
    <w:rsid w:val="002D16A0"/>
    <w:rsid w:val="002D1FFC"/>
    <w:rsid w:val="002D2930"/>
    <w:rsid w:val="002D2DFF"/>
    <w:rsid w:val="002D3D6D"/>
    <w:rsid w:val="002D5BF8"/>
    <w:rsid w:val="002D7ECC"/>
    <w:rsid w:val="002E1B8F"/>
    <w:rsid w:val="002E2DEF"/>
    <w:rsid w:val="002E40E6"/>
    <w:rsid w:val="002E4A37"/>
    <w:rsid w:val="002E4E3E"/>
    <w:rsid w:val="002E76B2"/>
    <w:rsid w:val="002E79A2"/>
    <w:rsid w:val="002F329E"/>
    <w:rsid w:val="002F3406"/>
    <w:rsid w:val="002F4F4B"/>
    <w:rsid w:val="002F55FD"/>
    <w:rsid w:val="002F594C"/>
    <w:rsid w:val="002F7D8A"/>
    <w:rsid w:val="00301984"/>
    <w:rsid w:val="00301B0B"/>
    <w:rsid w:val="00301E84"/>
    <w:rsid w:val="00302E7A"/>
    <w:rsid w:val="00303B4C"/>
    <w:rsid w:val="00303D1B"/>
    <w:rsid w:val="003046B7"/>
    <w:rsid w:val="003058F7"/>
    <w:rsid w:val="00307534"/>
    <w:rsid w:val="00310D76"/>
    <w:rsid w:val="00317A57"/>
    <w:rsid w:val="00320A99"/>
    <w:rsid w:val="0032144B"/>
    <w:rsid w:val="00322D5B"/>
    <w:rsid w:val="00325920"/>
    <w:rsid w:val="00325AC2"/>
    <w:rsid w:val="00326382"/>
    <w:rsid w:val="00326A1C"/>
    <w:rsid w:val="00327C76"/>
    <w:rsid w:val="00327FDC"/>
    <w:rsid w:val="00330B46"/>
    <w:rsid w:val="003360E3"/>
    <w:rsid w:val="003371D5"/>
    <w:rsid w:val="003376CD"/>
    <w:rsid w:val="0033789F"/>
    <w:rsid w:val="003452C3"/>
    <w:rsid w:val="003501A7"/>
    <w:rsid w:val="0035048A"/>
    <w:rsid w:val="003513CD"/>
    <w:rsid w:val="0036263B"/>
    <w:rsid w:val="00363B62"/>
    <w:rsid w:val="003645B0"/>
    <w:rsid w:val="00364B2C"/>
    <w:rsid w:val="003664F1"/>
    <w:rsid w:val="00367E3F"/>
    <w:rsid w:val="00372CDB"/>
    <w:rsid w:val="00375E0A"/>
    <w:rsid w:val="00376EF2"/>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68F"/>
    <w:rsid w:val="003A0F30"/>
    <w:rsid w:val="003A15A0"/>
    <w:rsid w:val="003A2D53"/>
    <w:rsid w:val="003A4C44"/>
    <w:rsid w:val="003A5AD0"/>
    <w:rsid w:val="003A6CE3"/>
    <w:rsid w:val="003A7899"/>
    <w:rsid w:val="003B15EE"/>
    <w:rsid w:val="003B21A2"/>
    <w:rsid w:val="003B3345"/>
    <w:rsid w:val="003B3EBA"/>
    <w:rsid w:val="003B4A5A"/>
    <w:rsid w:val="003B517D"/>
    <w:rsid w:val="003B60EC"/>
    <w:rsid w:val="003C00ED"/>
    <w:rsid w:val="003C1C0A"/>
    <w:rsid w:val="003C35DF"/>
    <w:rsid w:val="003C4A68"/>
    <w:rsid w:val="003C554F"/>
    <w:rsid w:val="003C61DD"/>
    <w:rsid w:val="003D1B44"/>
    <w:rsid w:val="003D32D0"/>
    <w:rsid w:val="003D63E7"/>
    <w:rsid w:val="003D6A6C"/>
    <w:rsid w:val="003E05F1"/>
    <w:rsid w:val="003E113B"/>
    <w:rsid w:val="003E5092"/>
    <w:rsid w:val="003E5999"/>
    <w:rsid w:val="003E715D"/>
    <w:rsid w:val="003F103E"/>
    <w:rsid w:val="003F2E48"/>
    <w:rsid w:val="003F440C"/>
    <w:rsid w:val="003F4BAF"/>
    <w:rsid w:val="003F525A"/>
    <w:rsid w:val="003F7BE6"/>
    <w:rsid w:val="003F7EC9"/>
    <w:rsid w:val="004006A9"/>
    <w:rsid w:val="004038CB"/>
    <w:rsid w:val="004044D8"/>
    <w:rsid w:val="00404548"/>
    <w:rsid w:val="004052AE"/>
    <w:rsid w:val="004058B1"/>
    <w:rsid w:val="004118A5"/>
    <w:rsid w:val="00413672"/>
    <w:rsid w:val="00414041"/>
    <w:rsid w:val="00414465"/>
    <w:rsid w:val="00414729"/>
    <w:rsid w:val="00414C80"/>
    <w:rsid w:val="00414F4B"/>
    <w:rsid w:val="00415EF9"/>
    <w:rsid w:val="00416629"/>
    <w:rsid w:val="00417DA1"/>
    <w:rsid w:val="00423478"/>
    <w:rsid w:val="0042385A"/>
    <w:rsid w:val="00425B76"/>
    <w:rsid w:val="004260A2"/>
    <w:rsid w:val="004264A1"/>
    <w:rsid w:val="00426867"/>
    <w:rsid w:val="00426FC6"/>
    <w:rsid w:val="004273BC"/>
    <w:rsid w:val="004275E6"/>
    <w:rsid w:val="00427C5F"/>
    <w:rsid w:val="00431794"/>
    <w:rsid w:val="00445674"/>
    <w:rsid w:val="004457AD"/>
    <w:rsid w:val="004507E5"/>
    <w:rsid w:val="004519AD"/>
    <w:rsid w:val="0045459A"/>
    <w:rsid w:val="004545DB"/>
    <w:rsid w:val="0045786A"/>
    <w:rsid w:val="00460076"/>
    <w:rsid w:val="00460F76"/>
    <w:rsid w:val="00462F12"/>
    <w:rsid w:val="00463050"/>
    <w:rsid w:val="0046340F"/>
    <w:rsid w:val="00463C06"/>
    <w:rsid w:val="00466168"/>
    <w:rsid w:val="0046778B"/>
    <w:rsid w:val="004714D4"/>
    <w:rsid w:val="00475712"/>
    <w:rsid w:val="004768BC"/>
    <w:rsid w:val="00480CCE"/>
    <w:rsid w:val="00482FAA"/>
    <w:rsid w:val="00483FDC"/>
    <w:rsid w:val="0049075F"/>
    <w:rsid w:val="00492DA8"/>
    <w:rsid w:val="004951DA"/>
    <w:rsid w:val="004A0888"/>
    <w:rsid w:val="004A43B6"/>
    <w:rsid w:val="004A4AB2"/>
    <w:rsid w:val="004A70EE"/>
    <w:rsid w:val="004A774E"/>
    <w:rsid w:val="004A7D3E"/>
    <w:rsid w:val="004A7FF9"/>
    <w:rsid w:val="004B197B"/>
    <w:rsid w:val="004B379D"/>
    <w:rsid w:val="004B5875"/>
    <w:rsid w:val="004B5F0C"/>
    <w:rsid w:val="004B6031"/>
    <w:rsid w:val="004C046E"/>
    <w:rsid w:val="004C1609"/>
    <w:rsid w:val="004C216B"/>
    <w:rsid w:val="004C54FC"/>
    <w:rsid w:val="004C5DD3"/>
    <w:rsid w:val="004C7764"/>
    <w:rsid w:val="004D30F9"/>
    <w:rsid w:val="004D4A32"/>
    <w:rsid w:val="004D64AB"/>
    <w:rsid w:val="004E7CE8"/>
    <w:rsid w:val="004E7D3F"/>
    <w:rsid w:val="004F18FB"/>
    <w:rsid w:val="004F271D"/>
    <w:rsid w:val="004F5114"/>
    <w:rsid w:val="004F756C"/>
    <w:rsid w:val="005001FA"/>
    <w:rsid w:val="00501597"/>
    <w:rsid w:val="005019AF"/>
    <w:rsid w:val="0050488D"/>
    <w:rsid w:val="00504D12"/>
    <w:rsid w:val="0050527A"/>
    <w:rsid w:val="0050535A"/>
    <w:rsid w:val="0050785F"/>
    <w:rsid w:val="005106F5"/>
    <w:rsid w:val="00511192"/>
    <w:rsid w:val="005118AD"/>
    <w:rsid w:val="00512353"/>
    <w:rsid w:val="0051715B"/>
    <w:rsid w:val="005203BA"/>
    <w:rsid w:val="005220C2"/>
    <w:rsid w:val="00522E88"/>
    <w:rsid w:val="00523369"/>
    <w:rsid w:val="0052398F"/>
    <w:rsid w:val="00532960"/>
    <w:rsid w:val="005416DE"/>
    <w:rsid w:val="00545A73"/>
    <w:rsid w:val="00546DEB"/>
    <w:rsid w:val="00546F0F"/>
    <w:rsid w:val="005477E7"/>
    <w:rsid w:val="00547D96"/>
    <w:rsid w:val="00550159"/>
    <w:rsid w:val="00551897"/>
    <w:rsid w:val="00551FFD"/>
    <w:rsid w:val="00552A0F"/>
    <w:rsid w:val="005551ED"/>
    <w:rsid w:val="00556419"/>
    <w:rsid w:val="005572B4"/>
    <w:rsid w:val="005572DD"/>
    <w:rsid w:val="00560564"/>
    <w:rsid w:val="00562C60"/>
    <w:rsid w:val="00562E2B"/>
    <w:rsid w:val="00564668"/>
    <w:rsid w:val="00565E86"/>
    <w:rsid w:val="00567437"/>
    <w:rsid w:val="00570353"/>
    <w:rsid w:val="005715CE"/>
    <w:rsid w:val="005715F5"/>
    <w:rsid w:val="0057171E"/>
    <w:rsid w:val="00571C22"/>
    <w:rsid w:val="00571EEC"/>
    <w:rsid w:val="0057215E"/>
    <w:rsid w:val="00572666"/>
    <w:rsid w:val="0057267E"/>
    <w:rsid w:val="005726BD"/>
    <w:rsid w:val="00574A5A"/>
    <w:rsid w:val="005753B8"/>
    <w:rsid w:val="00583ED5"/>
    <w:rsid w:val="00587437"/>
    <w:rsid w:val="00592678"/>
    <w:rsid w:val="00594644"/>
    <w:rsid w:val="00595042"/>
    <w:rsid w:val="0059526F"/>
    <w:rsid w:val="00595ECF"/>
    <w:rsid w:val="00596F36"/>
    <w:rsid w:val="005A1741"/>
    <w:rsid w:val="005A235F"/>
    <w:rsid w:val="005A4110"/>
    <w:rsid w:val="005A751F"/>
    <w:rsid w:val="005A7699"/>
    <w:rsid w:val="005A76F2"/>
    <w:rsid w:val="005A7719"/>
    <w:rsid w:val="005A77C2"/>
    <w:rsid w:val="005B291B"/>
    <w:rsid w:val="005B76C5"/>
    <w:rsid w:val="005B7AF0"/>
    <w:rsid w:val="005B7B8A"/>
    <w:rsid w:val="005C09C6"/>
    <w:rsid w:val="005C458D"/>
    <w:rsid w:val="005C491E"/>
    <w:rsid w:val="005C5E0A"/>
    <w:rsid w:val="005C6C0C"/>
    <w:rsid w:val="005D20C7"/>
    <w:rsid w:val="005D2276"/>
    <w:rsid w:val="005D25FD"/>
    <w:rsid w:val="005D2808"/>
    <w:rsid w:val="005E0858"/>
    <w:rsid w:val="005E2794"/>
    <w:rsid w:val="005E3CBF"/>
    <w:rsid w:val="005E6F9D"/>
    <w:rsid w:val="005E7B5A"/>
    <w:rsid w:val="005F01FC"/>
    <w:rsid w:val="005F0AE0"/>
    <w:rsid w:val="005F0C89"/>
    <w:rsid w:val="005F3701"/>
    <w:rsid w:val="005F41DF"/>
    <w:rsid w:val="005F4521"/>
    <w:rsid w:val="005F5478"/>
    <w:rsid w:val="005F7E3B"/>
    <w:rsid w:val="006006FC"/>
    <w:rsid w:val="006008E2"/>
    <w:rsid w:val="006045BA"/>
    <w:rsid w:val="0060583A"/>
    <w:rsid w:val="00606B11"/>
    <w:rsid w:val="00607E38"/>
    <w:rsid w:val="00611649"/>
    <w:rsid w:val="00611A0E"/>
    <w:rsid w:val="00614154"/>
    <w:rsid w:val="00614BD3"/>
    <w:rsid w:val="00614FDF"/>
    <w:rsid w:val="006162FA"/>
    <w:rsid w:val="00623A77"/>
    <w:rsid w:val="006256F5"/>
    <w:rsid w:val="00625C4C"/>
    <w:rsid w:val="0063097B"/>
    <w:rsid w:val="006364B8"/>
    <w:rsid w:val="00636A64"/>
    <w:rsid w:val="00636B93"/>
    <w:rsid w:val="00640550"/>
    <w:rsid w:val="00640FD7"/>
    <w:rsid w:val="0064326A"/>
    <w:rsid w:val="00644D5D"/>
    <w:rsid w:val="0064646B"/>
    <w:rsid w:val="00646DC7"/>
    <w:rsid w:val="006511FB"/>
    <w:rsid w:val="00651A9D"/>
    <w:rsid w:val="00654BEA"/>
    <w:rsid w:val="00654C93"/>
    <w:rsid w:val="00654E90"/>
    <w:rsid w:val="00656092"/>
    <w:rsid w:val="0065741C"/>
    <w:rsid w:val="00660B85"/>
    <w:rsid w:val="00662DCE"/>
    <w:rsid w:val="00664F6D"/>
    <w:rsid w:val="006650B8"/>
    <w:rsid w:val="00666329"/>
    <w:rsid w:val="006672EE"/>
    <w:rsid w:val="0067011F"/>
    <w:rsid w:val="0067015E"/>
    <w:rsid w:val="006754C3"/>
    <w:rsid w:val="0067667D"/>
    <w:rsid w:val="00680453"/>
    <w:rsid w:val="00682526"/>
    <w:rsid w:val="00683090"/>
    <w:rsid w:val="00683555"/>
    <w:rsid w:val="00686F1D"/>
    <w:rsid w:val="00690B5F"/>
    <w:rsid w:val="00692F7A"/>
    <w:rsid w:val="00695E06"/>
    <w:rsid w:val="00696315"/>
    <w:rsid w:val="00697AD3"/>
    <w:rsid w:val="006A049C"/>
    <w:rsid w:val="006A0A7B"/>
    <w:rsid w:val="006A0D51"/>
    <w:rsid w:val="006A1C05"/>
    <w:rsid w:val="006A225B"/>
    <w:rsid w:val="006A30D2"/>
    <w:rsid w:val="006A5A6A"/>
    <w:rsid w:val="006A5FE3"/>
    <w:rsid w:val="006B1833"/>
    <w:rsid w:val="006B23B2"/>
    <w:rsid w:val="006B4845"/>
    <w:rsid w:val="006B635C"/>
    <w:rsid w:val="006C06F0"/>
    <w:rsid w:val="006C1708"/>
    <w:rsid w:val="006C1AC3"/>
    <w:rsid w:val="006C1C29"/>
    <w:rsid w:val="006C3782"/>
    <w:rsid w:val="006C3CDE"/>
    <w:rsid w:val="006C4745"/>
    <w:rsid w:val="006C474C"/>
    <w:rsid w:val="006C49C4"/>
    <w:rsid w:val="006C56AA"/>
    <w:rsid w:val="006C6670"/>
    <w:rsid w:val="006D0EE8"/>
    <w:rsid w:val="006D3162"/>
    <w:rsid w:val="006D37E7"/>
    <w:rsid w:val="006D4692"/>
    <w:rsid w:val="006D5146"/>
    <w:rsid w:val="006D59D6"/>
    <w:rsid w:val="006D5C04"/>
    <w:rsid w:val="006D7508"/>
    <w:rsid w:val="006D7769"/>
    <w:rsid w:val="006E0F2F"/>
    <w:rsid w:val="006E19D7"/>
    <w:rsid w:val="006E71B9"/>
    <w:rsid w:val="006F39B2"/>
    <w:rsid w:val="006F4143"/>
    <w:rsid w:val="006F5384"/>
    <w:rsid w:val="006F6604"/>
    <w:rsid w:val="006F71D8"/>
    <w:rsid w:val="006F7D1A"/>
    <w:rsid w:val="0070191D"/>
    <w:rsid w:val="00702F6F"/>
    <w:rsid w:val="0070346C"/>
    <w:rsid w:val="00703D9B"/>
    <w:rsid w:val="007051A0"/>
    <w:rsid w:val="00706496"/>
    <w:rsid w:val="00706771"/>
    <w:rsid w:val="00707E90"/>
    <w:rsid w:val="00711A12"/>
    <w:rsid w:val="00711F11"/>
    <w:rsid w:val="007141C3"/>
    <w:rsid w:val="007153C1"/>
    <w:rsid w:val="007154C4"/>
    <w:rsid w:val="00715DB9"/>
    <w:rsid w:val="007174BE"/>
    <w:rsid w:val="0072172B"/>
    <w:rsid w:val="007218A0"/>
    <w:rsid w:val="007238AF"/>
    <w:rsid w:val="00726908"/>
    <w:rsid w:val="007270C7"/>
    <w:rsid w:val="007279A8"/>
    <w:rsid w:val="00730F3A"/>
    <w:rsid w:val="00735F34"/>
    <w:rsid w:val="00736944"/>
    <w:rsid w:val="00741200"/>
    <w:rsid w:val="00741333"/>
    <w:rsid w:val="00742FF2"/>
    <w:rsid w:val="007447A6"/>
    <w:rsid w:val="00744C12"/>
    <w:rsid w:val="00744D6A"/>
    <w:rsid w:val="00746138"/>
    <w:rsid w:val="0074620A"/>
    <w:rsid w:val="00746D15"/>
    <w:rsid w:val="00751D50"/>
    <w:rsid w:val="007527D5"/>
    <w:rsid w:val="00752F3C"/>
    <w:rsid w:val="007561FC"/>
    <w:rsid w:val="00761D34"/>
    <w:rsid w:val="00762D2D"/>
    <w:rsid w:val="00764189"/>
    <w:rsid w:val="00764622"/>
    <w:rsid w:val="00764CAD"/>
    <w:rsid w:val="00770FA1"/>
    <w:rsid w:val="0077216D"/>
    <w:rsid w:val="00773884"/>
    <w:rsid w:val="00774813"/>
    <w:rsid w:val="00777C87"/>
    <w:rsid w:val="0078052A"/>
    <w:rsid w:val="007812FB"/>
    <w:rsid w:val="00784032"/>
    <w:rsid w:val="00786E79"/>
    <w:rsid w:val="00787925"/>
    <w:rsid w:val="00790475"/>
    <w:rsid w:val="00790E31"/>
    <w:rsid w:val="00791259"/>
    <w:rsid w:val="00793B87"/>
    <w:rsid w:val="00794F57"/>
    <w:rsid w:val="0079566E"/>
    <w:rsid w:val="00796509"/>
    <w:rsid w:val="0079691E"/>
    <w:rsid w:val="00797723"/>
    <w:rsid w:val="007A4F96"/>
    <w:rsid w:val="007A7FE7"/>
    <w:rsid w:val="007B1EEE"/>
    <w:rsid w:val="007B249B"/>
    <w:rsid w:val="007B50F4"/>
    <w:rsid w:val="007B6D4D"/>
    <w:rsid w:val="007B6FAF"/>
    <w:rsid w:val="007B7A09"/>
    <w:rsid w:val="007C0F7A"/>
    <w:rsid w:val="007C4759"/>
    <w:rsid w:val="007C4BC9"/>
    <w:rsid w:val="007D24A9"/>
    <w:rsid w:val="007D27FA"/>
    <w:rsid w:val="007D30B5"/>
    <w:rsid w:val="007D4D9D"/>
    <w:rsid w:val="007D6218"/>
    <w:rsid w:val="007D6699"/>
    <w:rsid w:val="007D7AB6"/>
    <w:rsid w:val="007D7E30"/>
    <w:rsid w:val="007E0DCE"/>
    <w:rsid w:val="007E3C07"/>
    <w:rsid w:val="007E447C"/>
    <w:rsid w:val="007E6419"/>
    <w:rsid w:val="007F460B"/>
    <w:rsid w:val="007F5010"/>
    <w:rsid w:val="007F5A03"/>
    <w:rsid w:val="007F6815"/>
    <w:rsid w:val="007F6BA8"/>
    <w:rsid w:val="00802CA7"/>
    <w:rsid w:val="00803A09"/>
    <w:rsid w:val="008052BC"/>
    <w:rsid w:val="00805346"/>
    <w:rsid w:val="0080681B"/>
    <w:rsid w:val="0080738C"/>
    <w:rsid w:val="0081066E"/>
    <w:rsid w:val="00810B77"/>
    <w:rsid w:val="008112B8"/>
    <w:rsid w:val="00815160"/>
    <w:rsid w:val="0081731F"/>
    <w:rsid w:val="00817436"/>
    <w:rsid w:val="00821A8B"/>
    <w:rsid w:val="00822217"/>
    <w:rsid w:val="008238E0"/>
    <w:rsid w:val="0082542D"/>
    <w:rsid w:val="00827834"/>
    <w:rsid w:val="00832835"/>
    <w:rsid w:val="00835110"/>
    <w:rsid w:val="008351FC"/>
    <w:rsid w:val="00841F50"/>
    <w:rsid w:val="00843A0E"/>
    <w:rsid w:val="00845DFE"/>
    <w:rsid w:val="00846E17"/>
    <w:rsid w:val="0085200A"/>
    <w:rsid w:val="00854283"/>
    <w:rsid w:val="008573E3"/>
    <w:rsid w:val="0085793D"/>
    <w:rsid w:val="00861E81"/>
    <w:rsid w:val="008625D5"/>
    <w:rsid w:val="00862984"/>
    <w:rsid w:val="008645FF"/>
    <w:rsid w:val="00864DAC"/>
    <w:rsid w:val="00866D2E"/>
    <w:rsid w:val="00866D42"/>
    <w:rsid w:val="008677C4"/>
    <w:rsid w:val="0087030E"/>
    <w:rsid w:val="00870A36"/>
    <w:rsid w:val="00870AAC"/>
    <w:rsid w:val="00872A4B"/>
    <w:rsid w:val="008734F7"/>
    <w:rsid w:val="00874E9F"/>
    <w:rsid w:val="00877842"/>
    <w:rsid w:val="008806F8"/>
    <w:rsid w:val="008808E2"/>
    <w:rsid w:val="00881456"/>
    <w:rsid w:val="00881ACB"/>
    <w:rsid w:val="00885E54"/>
    <w:rsid w:val="00885FC9"/>
    <w:rsid w:val="0088737F"/>
    <w:rsid w:val="00891328"/>
    <w:rsid w:val="00891A47"/>
    <w:rsid w:val="00892809"/>
    <w:rsid w:val="0089370F"/>
    <w:rsid w:val="008939AF"/>
    <w:rsid w:val="00893FED"/>
    <w:rsid w:val="0089449A"/>
    <w:rsid w:val="00895E48"/>
    <w:rsid w:val="00896687"/>
    <w:rsid w:val="008971F4"/>
    <w:rsid w:val="008A0E7D"/>
    <w:rsid w:val="008A2B91"/>
    <w:rsid w:val="008A3023"/>
    <w:rsid w:val="008A403F"/>
    <w:rsid w:val="008A6815"/>
    <w:rsid w:val="008B1031"/>
    <w:rsid w:val="008B2303"/>
    <w:rsid w:val="008B34A0"/>
    <w:rsid w:val="008B5740"/>
    <w:rsid w:val="008C0B84"/>
    <w:rsid w:val="008C31DA"/>
    <w:rsid w:val="008C41DA"/>
    <w:rsid w:val="008C553A"/>
    <w:rsid w:val="008C588E"/>
    <w:rsid w:val="008C7226"/>
    <w:rsid w:val="008D313C"/>
    <w:rsid w:val="008D7B80"/>
    <w:rsid w:val="008E1A0C"/>
    <w:rsid w:val="008E4184"/>
    <w:rsid w:val="008E549F"/>
    <w:rsid w:val="008E6301"/>
    <w:rsid w:val="008F10BC"/>
    <w:rsid w:val="008F2052"/>
    <w:rsid w:val="008F26ED"/>
    <w:rsid w:val="008F2A38"/>
    <w:rsid w:val="008F3012"/>
    <w:rsid w:val="008F425C"/>
    <w:rsid w:val="008F592B"/>
    <w:rsid w:val="008F6D8E"/>
    <w:rsid w:val="00901D14"/>
    <w:rsid w:val="00902C73"/>
    <w:rsid w:val="00903775"/>
    <w:rsid w:val="00904EB8"/>
    <w:rsid w:val="009109F7"/>
    <w:rsid w:val="00912137"/>
    <w:rsid w:val="00912EEF"/>
    <w:rsid w:val="00915BED"/>
    <w:rsid w:val="00916B64"/>
    <w:rsid w:val="0092145D"/>
    <w:rsid w:val="00921A04"/>
    <w:rsid w:val="009245DE"/>
    <w:rsid w:val="00930762"/>
    <w:rsid w:val="00930C0C"/>
    <w:rsid w:val="00936B81"/>
    <w:rsid w:val="00937C65"/>
    <w:rsid w:val="009402B9"/>
    <w:rsid w:val="00944701"/>
    <w:rsid w:val="009477BD"/>
    <w:rsid w:val="00950ED1"/>
    <w:rsid w:val="00951E0E"/>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140D"/>
    <w:rsid w:val="00981CED"/>
    <w:rsid w:val="00983CC3"/>
    <w:rsid w:val="00987225"/>
    <w:rsid w:val="00990870"/>
    <w:rsid w:val="00990DCF"/>
    <w:rsid w:val="009913B5"/>
    <w:rsid w:val="009920F5"/>
    <w:rsid w:val="00992B56"/>
    <w:rsid w:val="00992CDA"/>
    <w:rsid w:val="00993342"/>
    <w:rsid w:val="00996CE4"/>
    <w:rsid w:val="009A0FB3"/>
    <w:rsid w:val="009A3F36"/>
    <w:rsid w:val="009A48D8"/>
    <w:rsid w:val="009A6C59"/>
    <w:rsid w:val="009A7878"/>
    <w:rsid w:val="009B0888"/>
    <w:rsid w:val="009B114C"/>
    <w:rsid w:val="009B33DF"/>
    <w:rsid w:val="009B4270"/>
    <w:rsid w:val="009B44CC"/>
    <w:rsid w:val="009B5651"/>
    <w:rsid w:val="009B62E4"/>
    <w:rsid w:val="009B7E8A"/>
    <w:rsid w:val="009C4319"/>
    <w:rsid w:val="009C4EEF"/>
    <w:rsid w:val="009D109E"/>
    <w:rsid w:val="009D1CD9"/>
    <w:rsid w:val="009D1F28"/>
    <w:rsid w:val="009D39E6"/>
    <w:rsid w:val="009D4830"/>
    <w:rsid w:val="009D5844"/>
    <w:rsid w:val="009D70A9"/>
    <w:rsid w:val="009D797A"/>
    <w:rsid w:val="009E026A"/>
    <w:rsid w:val="009E3B56"/>
    <w:rsid w:val="009E49B5"/>
    <w:rsid w:val="009E551E"/>
    <w:rsid w:val="009E7066"/>
    <w:rsid w:val="009E7CC9"/>
    <w:rsid w:val="009F1EF8"/>
    <w:rsid w:val="009F4604"/>
    <w:rsid w:val="009F4B78"/>
    <w:rsid w:val="009F606B"/>
    <w:rsid w:val="009F68D8"/>
    <w:rsid w:val="009F6E66"/>
    <w:rsid w:val="009F7EA8"/>
    <w:rsid w:val="00A00ECB"/>
    <w:rsid w:val="00A02AC3"/>
    <w:rsid w:val="00A04708"/>
    <w:rsid w:val="00A06840"/>
    <w:rsid w:val="00A06EAD"/>
    <w:rsid w:val="00A111B4"/>
    <w:rsid w:val="00A114EF"/>
    <w:rsid w:val="00A1293C"/>
    <w:rsid w:val="00A14F9B"/>
    <w:rsid w:val="00A167F1"/>
    <w:rsid w:val="00A170C3"/>
    <w:rsid w:val="00A2085F"/>
    <w:rsid w:val="00A20EC0"/>
    <w:rsid w:val="00A2150B"/>
    <w:rsid w:val="00A215D9"/>
    <w:rsid w:val="00A2292C"/>
    <w:rsid w:val="00A23FC3"/>
    <w:rsid w:val="00A25F1B"/>
    <w:rsid w:val="00A3288D"/>
    <w:rsid w:val="00A329DC"/>
    <w:rsid w:val="00A37088"/>
    <w:rsid w:val="00A407E5"/>
    <w:rsid w:val="00A41135"/>
    <w:rsid w:val="00A41FEB"/>
    <w:rsid w:val="00A42FBA"/>
    <w:rsid w:val="00A43205"/>
    <w:rsid w:val="00A44DA6"/>
    <w:rsid w:val="00A473FE"/>
    <w:rsid w:val="00A50921"/>
    <w:rsid w:val="00A5160D"/>
    <w:rsid w:val="00A51B89"/>
    <w:rsid w:val="00A56CA4"/>
    <w:rsid w:val="00A6215E"/>
    <w:rsid w:val="00A65F04"/>
    <w:rsid w:val="00A65F2E"/>
    <w:rsid w:val="00A661F0"/>
    <w:rsid w:val="00A71AD5"/>
    <w:rsid w:val="00A737A2"/>
    <w:rsid w:val="00A74671"/>
    <w:rsid w:val="00A77200"/>
    <w:rsid w:val="00A8073E"/>
    <w:rsid w:val="00A80883"/>
    <w:rsid w:val="00A81BED"/>
    <w:rsid w:val="00A82EF2"/>
    <w:rsid w:val="00A82FC6"/>
    <w:rsid w:val="00A85A0D"/>
    <w:rsid w:val="00A92270"/>
    <w:rsid w:val="00A924C8"/>
    <w:rsid w:val="00AA0A73"/>
    <w:rsid w:val="00AA10AE"/>
    <w:rsid w:val="00AA2BD9"/>
    <w:rsid w:val="00AA329F"/>
    <w:rsid w:val="00AA3504"/>
    <w:rsid w:val="00AA556E"/>
    <w:rsid w:val="00AA7B6A"/>
    <w:rsid w:val="00AB0523"/>
    <w:rsid w:val="00AB1A88"/>
    <w:rsid w:val="00AB593E"/>
    <w:rsid w:val="00AB5A12"/>
    <w:rsid w:val="00AB5D37"/>
    <w:rsid w:val="00AB683F"/>
    <w:rsid w:val="00AB6F21"/>
    <w:rsid w:val="00AC4A2E"/>
    <w:rsid w:val="00AD13A1"/>
    <w:rsid w:val="00AD1885"/>
    <w:rsid w:val="00AD50BA"/>
    <w:rsid w:val="00AE02E7"/>
    <w:rsid w:val="00AE0F75"/>
    <w:rsid w:val="00AE2935"/>
    <w:rsid w:val="00AE319E"/>
    <w:rsid w:val="00AE3B2C"/>
    <w:rsid w:val="00AE3B4E"/>
    <w:rsid w:val="00AE676F"/>
    <w:rsid w:val="00AE709C"/>
    <w:rsid w:val="00AE7DD9"/>
    <w:rsid w:val="00AF2124"/>
    <w:rsid w:val="00AF2B38"/>
    <w:rsid w:val="00B004C1"/>
    <w:rsid w:val="00B0168B"/>
    <w:rsid w:val="00B03458"/>
    <w:rsid w:val="00B04B8E"/>
    <w:rsid w:val="00B052A2"/>
    <w:rsid w:val="00B05D03"/>
    <w:rsid w:val="00B1072F"/>
    <w:rsid w:val="00B15820"/>
    <w:rsid w:val="00B15BDB"/>
    <w:rsid w:val="00B210F8"/>
    <w:rsid w:val="00B215D8"/>
    <w:rsid w:val="00B2218A"/>
    <w:rsid w:val="00B22C95"/>
    <w:rsid w:val="00B246ED"/>
    <w:rsid w:val="00B2571A"/>
    <w:rsid w:val="00B26DD0"/>
    <w:rsid w:val="00B276E6"/>
    <w:rsid w:val="00B30C0D"/>
    <w:rsid w:val="00B30E9E"/>
    <w:rsid w:val="00B32627"/>
    <w:rsid w:val="00B338C8"/>
    <w:rsid w:val="00B33D97"/>
    <w:rsid w:val="00B341CC"/>
    <w:rsid w:val="00B35321"/>
    <w:rsid w:val="00B35505"/>
    <w:rsid w:val="00B35CB3"/>
    <w:rsid w:val="00B35E0A"/>
    <w:rsid w:val="00B40124"/>
    <w:rsid w:val="00B40B86"/>
    <w:rsid w:val="00B42E03"/>
    <w:rsid w:val="00B443E2"/>
    <w:rsid w:val="00B46222"/>
    <w:rsid w:val="00B46BAF"/>
    <w:rsid w:val="00B508BB"/>
    <w:rsid w:val="00B54092"/>
    <w:rsid w:val="00B5444C"/>
    <w:rsid w:val="00B5568B"/>
    <w:rsid w:val="00B557BF"/>
    <w:rsid w:val="00B55BD6"/>
    <w:rsid w:val="00B56147"/>
    <w:rsid w:val="00B5720A"/>
    <w:rsid w:val="00B57F47"/>
    <w:rsid w:val="00B604A0"/>
    <w:rsid w:val="00B60761"/>
    <w:rsid w:val="00B620A5"/>
    <w:rsid w:val="00B62BB1"/>
    <w:rsid w:val="00B63559"/>
    <w:rsid w:val="00B64C0E"/>
    <w:rsid w:val="00B673AD"/>
    <w:rsid w:val="00B73979"/>
    <w:rsid w:val="00B751B0"/>
    <w:rsid w:val="00B762E0"/>
    <w:rsid w:val="00B865EA"/>
    <w:rsid w:val="00B86C54"/>
    <w:rsid w:val="00B874C4"/>
    <w:rsid w:val="00B9715E"/>
    <w:rsid w:val="00B97AA2"/>
    <w:rsid w:val="00B97B8E"/>
    <w:rsid w:val="00BA00A8"/>
    <w:rsid w:val="00BA0378"/>
    <w:rsid w:val="00BA37A4"/>
    <w:rsid w:val="00BA4FB0"/>
    <w:rsid w:val="00BA6138"/>
    <w:rsid w:val="00BB0BAB"/>
    <w:rsid w:val="00BB1930"/>
    <w:rsid w:val="00BB1D1F"/>
    <w:rsid w:val="00BB3478"/>
    <w:rsid w:val="00BB659C"/>
    <w:rsid w:val="00BC1BE7"/>
    <w:rsid w:val="00BC2247"/>
    <w:rsid w:val="00BC2DF0"/>
    <w:rsid w:val="00BC5572"/>
    <w:rsid w:val="00BC6567"/>
    <w:rsid w:val="00BD3F04"/>
    <w:rsid w:val="00BD497C"/>
    <w:rsid w:val="00BD57EE"/>
    <w:rsid w:val="00BE4E8A"/>
    <w:rsid w:val="00BE6A6D"/>
    <w:rsid w:val="00BF2A79"/>
    <w:rsid w:val="00BF375F"/>
    <w:rsid w:val="00C01159"/>
    <w:rsid w:val="00C02372"/>
    <w:rsid w:val="00C044C3"/>
    <w:rsid w:val="00C04575"/>
    <w:rsid w:val="00C04EF6"/>
    <w:rsid w:val="00C10453"/>
    <w:rsid w:val="00C13411"/>
    <w:rsid w:val="00C13BCA"/>
    <w:rsid w:val="00C141B9"/>
    <w:rsid w:val="00C158CF"/>
    <w:rsid w:val="00C15CF5"/>
    <w:rsid w:val="00C16518"/>
    <w:rsid w:val="00C1787D"/>
    <w:rsid w:val="00C20F14"/>
    <w:rsid w:val="00C22B7C"/>
    <w:rsid w:val="00C23B8E"/>
    <w:rsid w:val="00C3184D"/>
    <w:rsid w:val="00C32383"/>
    <w:rsid w:val="00C331FD"/>
    <w:rsid w:val="00C34DCB"/>
    <w:rsid w:val="00C356F6"/>
    <w:rsid w:val="00C35DF1"/>
    <w:rsid w:val="00C36D0C"/>
    <w:rsid w:val="00C3708D"/>
    <w:rsid w:val="00C4138A"/>
    <w:rsid w:val="00C419CA"/>
    <w:rsid w:val="00C41EE5"/>
    <w:rsid w:val="00C43DD1"/>
    <w:rsid w:val="00C440B4"/>
    <w:rsid w:val="00C446F9"/>
    <w:rsid w:val="00C45A6B"/>
    <w:rsid w:val="00C462CB"/>
    <w:rsid w:val="00C4670D"/>
    <w:rsid w:val="00C46F39"/>
    <w:rsid w:val="00C47AFE"/>
    <w:rsid w:val="00C5067F"/>
    <w:rsid w:val="00C515C3"/>
    <w:rsid w:val="00C5192C"/>
    <w:rsid w:val="00C51AA2"/>
    <w:rsid w:val="00C52E43"/>
    <w:rsid w:val="00C536B5"/>
    <w:rsid w:val="00C56CD4"/>
    <w:rsid w:val="00C609C3"/>
    <w:rsid w:val="00C60E16"/>
    <w:rsid w:val="00C65E4E"/>
    <w:rsid w:val="00C66610"/>
    <w:rsid w:val="00C66648"/>
    <w:rsid w:val="00C66FEF"/>
    <w:rsid w:val="00C7067F"/>
    <w:rsid w:val="00C70920"/>
    <w:rsid w:val="00C70CB4"/>
    <w:rsid w:val="00C72709"/>
    <w:rsid w:val="00C727A7"/>
    <w:rsid w:val="00C728D5"/>
    <w:rsid w:val="00C72C3E"/>
    <w:rsid w:val="00C72CF7"/>
    <w:rsid w:val="00C75119"/>
    <w:rsid w:val="00C76DD6"/>
    <w:rsid w:val="00C7753C"/>
    <w:rsid w:val="00C83FD8"/>
    <w:rsid w:val="00C84A35"/>
    <w:rsid w:val="00C90B62"/>
    <w:rsid w:val="00C91C08"/>
    <w:rsid w:val="00C92371"/>
    <w:rsid w:val="00C95709"/>
    <w:rsid w:val="00C9776A"/>
    <w:rsid w:val="00C97F0E"/>
    <w:rsid w:val="00CA06AC"/>
    <w:rsid w:val="00CA1D9E"/>
    <w:rsid w:val="00CA242A"/>
    <w:rsid w:val="00CA27BD"/>
    <w:rsid w:val="00CA2AB6"/>
    <w:rsid w:val="00CA2E98"/>
    <w:rsid w:val="00CA34B6"/>
    <w:rsid w:val="00CA4540"/>
    <w:rsid w:val="00CA4BCC"/>
    <w:rsid w:val="00CB01D6"/>
    <w:rsid w:val="00CB311E"/>
    <w:rsid w:val="00CB3B6F"/>
    <w:rsid w:val="00CB50DD"/>
    <w:rsid w:val="00CB71E1"/>
    <w:rsid w:val="00CC0ED3"/>
    <w:rsid w:val="00CC16CA"/>
    <w:rsid w:val="00CC1894"/>
    <w:rsid w:val="00CC2EE2"/>
    <w:rsid w:val="00CC3D03"/>
    <w:rsid w:val="00CC45DB"/>
    <w:rsid w:val="00CC5651"/>
    <w:rsid w:val="00CC73FF"/>
    <w:rsid w:val="00CD061A"/>
    <w:rsid w:val="00CD141E"/>
    <w:rsid w:val="00CD2E96"/>
    <w:rsid w:val="00CD45DA"/>
    <w:rsid w:val="00CD735E"/>
    <w:rsid w:val="00CE2EA4"/>
    <w:rsid w:val="00CE345E"/>
    <w:rsid w:val="00CE4275"/>
    <w:rsid w:val="00CE5714"/>
    <w:rsid w:val="00CE6138"/>
    <w:rsid w:val="00CE6F59"/>
    <w:rsid w:val="00CE7359"/>
    <w:rsid w:val="00CE7AAB"/>
    <w:rsid w:val="00CF2673"/>
    <w:rsid w:val="00CF2DA1"/>
    <w:rsid w:val="00CF43B1"/>
    <w:rsid w:val="00CF4705"/>
    <w:rsid w:val="00CF6A8D"/>
    <w:rsid w:val="00CF7FA2"/>
    <w:rsid w:val="00D00DC5"/>
    <w:rsid w:val="00D03DFC"/>
    <w:rsid w:val="00D05109"/>
    <w:rsid w:val="00D0614B"/>
    <w:rsid w:val="00D06AD1"/>
    <w:rsid w:val="00D10D29"/>
    <w:rsid w:val="00D120AC"/>
    <w:rsid w:val="00D17549"/>
    <w:rsid w:val="00D17E18"/>
    <w:rsid w:val="00D24D97"/>
    <w:rsid w:val="00D27131"/>
    <w:rsid w:val="00D275F5"/>
    <w:rsid w:val="00D27777"/>
    <w:rsid w:val="00D330B0"/>
    <w:rsid w:val="00D3609E"/>
    <w:rsid w:val="00D376F1"/>
    <w:rsid w:val="00D43CA8"/>
    <w:rsid w:val="00D4523D"/>
    <w:rsid w:val="00D455B9"/>
    <w:rsid w:val="00D4593F"/>
    <w:rsid w:val="00D45BD4"/>
    <w:rsid w:val="00D4775B"/>
    <w:rsid w:val="00D47AB8"/>
    <w:rsid w:val="00D514EA"/>
    <w:rsid w:val="00D55D94"/>
    <w:rsid w:val="00D56566"/>
    <w:rsid w:val="00D57401"/>
    <w:rsid w:val="00D647A4"/>
    <w:rsid w:val="00D6487A"/>
    <w:rsid w:val="00D648BB"/>
    <w:rsid w:val="00D64E04"/>
    <w:rsid w:val="00D65A5E"/>
    <w:rsid w:val="00D65F70"/>
    <w:rsid w:val="00D669D1"/>
    <w:rsid w:val="00D7049A"/>
    <w:rsid w:val="00D704F6"/>
    <w:rsid w:val="00D722B1"/>
    <w:rsid w:val="00D74A82"/>
    <w:rsid w:val="00D753F6"/>
    <w:rsid w:val="00D7737D"/>
    <w:rsid w:val="00D80897"/>
    <w:rsid w:val="00D80CA6"/>
    <w:rsid w:val="00D81375"/>
    <w:rsid w:val="00D8225B"/>
    <w:rsid w:val="00D8540E"/>
    <w:rsid w:val="00D85C4D"/>
    <w:rsid w:val="00D8730B"/>
    <w:rsid w:val="00D9072A"/>
    <w:rsid w:val="00D92CB5"/>
    <w:rsid w:val="00D94852"/>
    <w:rsid w:val="00D9685A"/>
    <w:rsid w:val="00D97B0E"/>
    <w:rsid w:val="00DA039C"/>
    <w:rsid w:val="00DA10B4"/>
    <w:rsid w:val="00DA33E0"/>
    <w:rsid w:val="00DA6EBE"/>
    <w:rsid w:val="00DB27CC"/>
    <w:rsid w:val="00DB2A54"/>
    <w:rsid w:val="00DB4EF9"/>
    <w:rsid w:val="00DB7C3F"/>
    <w:rsid w:val="00DC2006"/>
    <w:rsid w:val="00DC29FE"/>
    <w:rsid w:val="00DC430C"/>
    <w:rsid w:val="00DC59C9"/>
    <w:rsid w:val="00DC60FB"/>
    <w:rsid w:val="00DC7319"/>
    <w:rsid w:val="00DC7367"/>
    <w:rsid w:val="00DC742E"/>
    <w:rsid w:val="00DD1AED"/>
    <w:rsid w:val="00DD38DC"/>
    <w:rsid w:val="00DD63FF"/>
    <w:rsid w:val="00DF0366"/>
    <w:rsid w:val="00DF1BBF"/>
    <w:rsid w:val="00DF3145"/>
    <w:rsid w:val="00DF4B0E"/>
    <w:rsid w:val="00DF6E75"/>
    <w:rsid w:val="00E01E4B"/>
    <w:rsid w:val="00E04AE3"/>
    <w:rsid w:val="00E062B0"/>
    <w:rsid w:val="00E0711E"/>
    <w:rsid w:val="00E0770C"/>
    <w:rsid w:val="00E11FCF"/>
    <w:rsid w:val="00E14DFA"/>
    <w:rsid w:val="00E15CC8"/>
    <w:rsid w:val="00E17EA5"/>
    <w:rsid w:val="00E229DB"/>
    <w:rsid w:val="00E2571A"/>
    <w:rsid w:val="00E26EDC"/>
    <w:rsid w:val="00E2713C"/>
    <w:rsid w:val="00E30B42"/>
    <w:rsid w:val="00E342D7"/>
    <w:rsid w:val="00E34D1F"/>
    <w:rsid w:val="00E35C26"/>
    <w:rsid w:val="00E37FFE"/>
    <w:rsid w:val="00E40931"/>
    <w:rsid w:val="00E410EA"/>
    <w:rsid w:val="00E41D5C"/>
    <w:rsid w:val="00E423A3"/>
    <w:rsid w:val="00E437F7"/>
    <w:rsid w:val="00E529F9"/>
    <w:rsid w:val="00E55017"/>
    <w:rsid w:val="00E55416"/>
    <w:rsid w:val="00E557D1"/>
    <w:rsid w:val="00E56282"/>
    <w:rsid w:val="00E616BF"/>
    <w:rsid w:val="00E658AA"/>
    <w:rsid w:val="00E6656A"/>
    <w:rsid w:val="00E70D30"/>
    <w:rsid w:val="00E716BA"/>
    <w:rsid w:val="00E71BAB"/>
    <w:rsid w:val="00E75977"/>
    <w:rsid w:val="00E76431"/>
    <w:rsid w:val="00E7686D"/>
    <w:rsid w:val="00E80199"/>
    <w:rsid w:val="00E813BA"/>
    <w:rsid w:val="00E81D40"/>
    <w:rsid w:val="00E81DAE"/>
    <w:rsid w:val="00E8590C"/>
    <w:rsid w:val="00E85F21"/>
    <w:rsid w:val="00E85F76"/>
    <w:rsid w:val="00E92230"/>
    <w:rsid w:val="00E93590"/>
    <w:rsid w:val="00E94506"/>
    <w:rsid w:val="00E94BE3"/>
    <w:rsid w:val="00E95A7B"/>
    <w:rsid w:val="00E969E9"/>
    <w:rsid w:val="00EA01A0"/>
    <w:rsid w:val="00EA12B7"/>
    <w:rsid w:val="00EA155A"/>
    <w:rsid w:val="00EA24D4"/>
    <w:rsid w:val="00EA2851"/>
    <w:rsid w:val="00EA3515"/>
    <w:rsid w:val="00EA55FE"/>
    <w:rsid w:val="00EB0B4F"/>
    <w:rsid w:val="00EB1B59"/>
    <w:rsid w:val="00EB3CDA"/>
    <w:rsid w:val="00EB4384"/>
    <w:rsid w:val="00EB4729"/>
    <w:rsid w:val="00EB6065"/>
    <w:rsid w:val="00EC0826"/>
    <w:rsid w:val="00EC4E99"/>
    <w:rsid w:val="00ED0099"/>
    <w:rsid w:val="00ED11DE"/>
    <w:rsid w:val="00ED1991"/>
    <w:rsid w:val="00ED3A21"/>
    <w:rsid w:val="00ED54F9"/>
    <w:rsid w:val="00ED6982"/>
    <w:rsid w:val="00EE0218"/>
    <w:rsid w:val="00EE0E54"/>
    <w:rsid w:val="00EE1033"/>
    <w:rsid w:val="00EE770E"/>
    <w:rsid w:val="00EF04B6"/>
    <w:rsid w:val="00EF24BB"/>
    <w:rsid w:val="00EF2B90"/>
    <w:rsid w:val="00EF32F6"/>
    <w:rsid w:val="00EF4114"/>
    <w:rsid w:val="00EF448F"/>
    <w:rsid w:val="00EF4634"/>
    <w:rsid w:val="00EF472E"/>
    <w:rsid w:val="00EF4A5A"/>
    <w:rsid w:val="00EF4EC4"/>
    <w:rsid w:val="00EF66A9"/>
    <w:rsid w:val="00EF74D8"/>
    <w:rsid w:val="00F01898"/>
    <w:rsid w:val="00F03F59"/>
    <w:rsid w:val="00F05EE0"/>
    <w:rsid w:val="00F06985"/>
    <w:rsid w:val="00F07DE8"/>
    <w:rsid w:val="00F10E62"/>
    <w:rsid w:val="00F1221A"/>
    <w:rsid w:val="00F14BCB"/>
    <w:rsid w:val="00F156B3"/>
    <w:rsid w:val="00F15FD8"/>
    <w:rsid w:val="00F16599"/>
    <w:rsid w:val="00F17851"/>
    <w:rsid w:val="00F21A1A"/>
    <w:rsid w:val="00F22813"/>
    <w:rsid w:val="00F22FC8"/>
    <w:rsid w:val="00F27F36"/>
    <w:rsid w:val="00F32B8C"/>
    <w:rsid w:val="00F33383"/>
    <w:rsid w:val="00F33D5B"/>
    <w:rsid w:val="00F400FF"/>
    <w:rsid w:val="00F4030B"/>
    <w:rsid w:val="00F42F65"/>
    <w:rsid w:val="00F444F5"/>
    <w:rsid w:val="00F4602E"/>
    <w:rsid w:val="00F46BCF"/>
    <w:rsid w:val="00F515AF"/>
    <w:rsid w:val="00F53E05"/>
    <w:rsid w:val="00F54852"/>
    <w:rsid w:val="00F5550A"/>
    <w:rsid w:val="00F5565F"/>
    <w:rsid w:val="00F55A56"/>
    <w:rsid w:val="00F56088"/>
    <w:rsid w:val="00F6031D"/>
    <w:rsid w:val="00F61303"/>
    <w:rsid w:val="00F65606"/>
    <w:rsid w:val="00F66614"/>
    <w:rsid w:val="00F67764"/>
    <w:rsid w:val="00F701D2"/>
    <w:rsid w:val="00F71232"/>
    <w:rsid w:val="00F740C0"/>
    <w:rsid w:val="00F74722"/>
    <w:rsid w:val="00F75F45"/>
    <w:rsid w:val="00F82957"/>
    <w:rsid w:val="00F83BD2"/>
    <w:rsid w:val="00F857CA"/>
    <w:rsid w:val="00F865A4"/>
    <w:rsid w:val="00F86748"/>
    <w:rsid w:val="00F92C2B"/>
    <w:rsid w:val="00F94241"/>
    <w:rsid w:val="00F945CD"/>
    <w:rsid w:val="00F95ECF"/>
    <w:rsid w:val="00F9792C"/>
    <w:rsid w:val="00F97AAA"/>
    <w:rsid w:val="00FA1785"/>
    <w:rsid w:val="00FA32D1"/>
    <w:rsid w:val="00FA4AD8"/>
    <w:rsid w:val="00FA6FFA"/>
    <w:rsid w:val="00FB3597"/>
    <w:rsid w:val="00FB53CA"/>
    <w:rsid w:val="00FB6373"/>
    <w:rsid w:val="00FC3750"/>
    <w:rsid w:val="00FC487C"/>
    <w:rsid w:val="00FC51A5"/>
    <w:rsid w:val="00FD0B36"/>
    <w:rsid w:val="00FD168A"/>
    <w:rsid w:val="00FD3643"/>
    <w:rsid w:val="00FD36D3"/>
    <w:rsid w:val="00FD553C"/>
    <w:rsid w:val="00FD6F5E"/>
    <w:rsid w:val="00FE087D"/>
    <w:rsid w:val="00FE133D"/>
    <w:rsid w:val="00FE2090"/>
    <w:rsid w:val="00FE20A1"/>
    <w:rsid w:val="00FE359D"/>
    <w:rsid w:val="00FE47EA"/>
    <w:rsid w:val="00FE4D5F"/>
    <w:rsid w:val="00FE7BC4"/>
    <w:rsid w:val="00FF29D4"/>
    <w:rsid w:val="00FF388D"/>
    <w:rsid w:val="00FF6138"/>
    <w:rsid w:val="00FF6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A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70C3"/>
    <w:pPr>
      <w:spacing w:after="200"/>
      <w:jc w:val="both"/>
    </w:pPr>
    <w:rPr>
      <w:rFonts w:ascii="Times" w:eastAsia="Times New Roman" w:hAnsi="Times"/>
      <w:sz w:val="24"/>
      <w:lang w:val="en-US" w:eastAsia="en-US"/>
    </w:rPr>
  </w:style>
  <w:style w:type="paragraph" w:styleId="berschrift1">
    <w:name w:val="heading 1"/>
    <w:basedOn w:val="Standard"/>
    <w:next w:val="Standard"/>
    <w:link w:val="berschrift1Zchn"/>
    <w:uiPriority w:val="9"/>
    <w:qFormat/>
    <w:rsid w:val="000A61C9"/>
    <w:pPr>
      <w:keepNext/>
      <w:keepLines/>
      <w:numPr>
        <w:numId w:val="4"/>
      </w:numPr>
      <w:spacing w:before="240" w:after="240" w:line="259" w:lineRule="auto"/>
      <w:outlineLvl w:val="0"/>
    </w:pPr>
    <w:rPr>
      <w:rFonts w:eastAsiaTheme="majorEastAsia" w:cstheme="majorBidi"/>
      <w:b/>
      <w:caps/>
      <w:color w:val="000000" w:themeColor="text1"/>
      <w:sz w:val="32"/>
      <w:szCs w:val="32"/>
      <w:lang w:val="en-CA"/>
    </w:rPr>
  </w:style>
  <w:style w:type="paragraph" w:styleId="berschrift2">
    <w:name w:val="heading 2"/>
    <w:basedOn w:val="Standard"/>
    <w:next w:val="Standard"/>
    <w:link w:val="berschrift2Zchn"/>
    <w:uiPriority w:val="9"/>
    <w:unhideWhenUsed/>
    <w:qFormat/>
    <w:rsid w:val="00872A4B"/>
    <w:pPr>
      <w:keepNext/>
      <w:keepLines/>
      <w:numPr>
        <w:ilvl w:val="1"/>
        <w:numId w:val="4"/>
      </w:numPr>
      <w:spacing w:before="120" w:after="120" w:line="480" w:lineRule="auto"/>
      <w:contextualSpacing/>
      <w:outlineLvl w:val="1"/>
    </w:pPr>
    <w:rPr>
      <w:rFonts w:eastAsiaTheme="majorEastAsia" w:cstheme="majorBidi"/>
      <w:b/>
      <w:color w:val="000000" w:themeColor="text1"/>
      <w:sz w:val="28"/>
      <w:szCs w:val="26"/>
      <w:lang w:val="en-CA"/>
    </w:rPr>
  </w:style>
  <w:style w:type="paragraph" w:styleId="berschrift3">
    <w:name w:val="heading 3"/>
    <w:basedOn w:val="Standard"/>
    <w:next w:val="Standard"/>
    <w:link w:val="berschrift3Zchn"/>
    <w:uiPriority w:val="9"/>
    <w:unhideWhenUsed/>
    <w:qFormat/>
    <w:rsid w:val="00872A4B"/>
    <w:pPr>
      <w:keepNext/>
      <w:keepLines/>
      <w:numPr>
        <w:ilvl w:val="2"/>
        <w:numId w:val="4"/>
      </w:numPr>
      <w:spacing w:before="40" w:line="259" w:lineRule="auto"/>
      <w:outlineLvl w:val="2"/>
    </w:pPr>
    <w:rPr>
      <w:rFonts w:asciiTheme="majorHAnsi" w:eastAsiaTheme="majorEastAsia" w:hAnsiTheme="majorHAnsi" w:cstheme="majorBidi"/>
      <w:color w:val="1F3763" w:themeColor="accent1" w:themeShade="7F"/>
      <w:lang w:val="en-CA"/>
    </w:rPr>
  </w:style>
  <w:style w:type="paragraph" w:styleId="berschrift4">
    <w:name w:val="heading 4"/>
    <w:basedOn w:val="Standard"/>
    <w:next w:val="Standard"/>
    <w:link w:val="berschrift4Zchn"/>
    <w:uiPriority w:val="9"/>
    <w:semiHidden/>
    <w:unhideWhenUsed/>
    <w:qFormat/>
    <w:rsid w:val="00872A4B"/>
    <w:pPr>
      <w:keepNext/>
      <w:keepLines/>
      <w:numPr>
        <w:ilvl w:val="3"/>
        <w:numId w:val="4"/>
      </w:numPr>
      <w:spacing w:before="40" w:line="259" w:lineRule="auto"/>
      <w:outlineLvl w:val="3"/>
    </w:pPr>
    <w:rPr>
      <w:rFonts w:asciiTheme="majorHAnsi" w:eastAsiaTheme="majorEastAsia" w:hAnsiTheme="majorHAnsi" w:cstheme="majorBidi"/>
      <w:i/>
      <w:iCs/>
      <w:color w:val="2F5496" w:themeColor="accent1" w:themeShade="BF"/>
      <w:sz w:val="22"/>
      <w:szCs w:val="22"/>
      <w:lang w:val="en-CA"/>
    </w:rPr>
  </w:style>
  <w:style w:type="paragraph" w:styleId="berschrift5">
    <w:name w:val="heading 5"/>
    <w:basedOn w:val="Standard"/>
    <w:next w:val="Standard"/>
    <w:link w:val="berschrift5Zchn"/>
    <w:uiPriority w:val="9"/>
    <w:semiHidden/>
    <w:unhideWhenUsed/>
    <w:qFormat/>
    <w:rsid w:val="00872A4B"/>
    <w:pPr>
      <w:keepNext/>
      <w:keepLines/>
      <w:numPr>
        <w:ilvl w:val="4"/>
        <w:numId w:val="4"/>
      </w:numPr>
      <w:spacing w:before="40" w:line="259" w:lineRule="auto"/>
      <w:outlineLvl w:val="4"/>
    </w:pPr>
    <w:rPr>
      <w:rFonts w:asciiTheme="majorHAnsi" w:eastAsiaTheme="majorEastAsia" w:hAnsiTheme="majorHAnsi" w:cstheme="majorBidi"/>
      <w:color w:val="2F5496" w:themeColor="accent1" w:themeShade="BF"/>
      <w:sz w:val="22"/>
      <w:szCs w:val="22"/>
      <w:lang w:val="en-CA"/>
    </w:rPr>
  </w:style>
  <w:style w:type="paragraph" w:styleId="berschrift6">
    <w:name w:val="heading 6"/>
    <w:basedOn w:val="Standard"/>
    <w:next w:val="Standard"/>
    <w:link w:val="berschrift6Zchn"/>
    <w:uiPriority w:val="9"/>
    <w:semiHidden/>
    <w:unhideWhenUsed/>
    <w:qFormat/>
    <w:rsid w:val="00872A4B"/>
    <w:pPr>
      <w:keepNext/>
      <w:keepLines/>
      <w:numPr>
        <w:ilvl w:val="5"/>
        <w:numId w:val="4"/>
      </w:numPr>
      <w:spacing w:before="40" w:line="259" w:lineRule="auto"/>
      <w:outlineLvl w:val="5"/>
    </w:pPr>
    <w:rPr>
      <w:rFonts w:asciiTheme="majorHAnsi" w:eastAsiaTheme="majorEastAsia" w:hAnsiTheme="majorHAnsi" w:cstheme="majorBidi"/>
      <w:color w:val="1F3763" w:themeColor="accent1" w:themeShade="7F"/>
      <w:sz w:val="22"/>
      <w:szCs w:val="22"/>
      <w:lang w:val="en-CA"/>
    </w:rPr>
  </w:style>
  <w:style w:type="paragraph" w:styleId="berschrift7">
    <w:name w:val="heading 7"/>
    <w:basedOn w:val="Standard"/>
    <w:next w:val="Standard"/>
    <w:link w:val="berschrift7Zchn"/>
    <w:uiPriority w:val="9"/>
    <w:semiHidden/>
    <w:unhideWhenUsed/>
    <w:qFormat/>
    <w:rsid w:val="00872A4B"/>
    <w:pPr>
      <w:keepNext/>
      <w:keepLines/>
      <w:numPr>
        <w:ilvl w:val="6"/>
        <w:numId w:val="4"/>
      </w:numPr>
      <w:spacing w:before="40" w:line="259" w:lineRule="auto"/>
      <w:outlineLvl w:val="6"/>
    </w:pPr>
    <w:rPr>
      <w:rFonts w:asciiTheme="majorHAnsi" w:eastAsiaTheme="majorEastAsia" w:hAnsiTheme="majorHAnsi" w:cstheme="majorBidi"/>
      <w:i/>
      <w:iCs/>
      <w:color w:val="1F3763" w:themeColor="accent1" w:themeShade="7F"/>
      <w:sz w:val="22"/>
      <w:szCs w:val="22"/>
      <w:lang w:val="en-CA"/>
    </w:rPr>
  </w:style>
  <w:style w:type="paragraph" w:styleId="berschrift8">
    <w:name w:val="heading 8"/>
    <w:basedOn w:val="Standard"/>
    <w:next w:val="Standard"/>
    <w:link w:val="berschrift8Zchn"/>
    <w:uiPriority w:val="9"/>
    <w:semiHidden/>
    <w:unhideWhenUsed/>
    <w:qFormat/>
    <w:rsid w:val="00872A4B"/>
    <w:pPr>
      <w:keepNext/>
      <w:keepLines/>
      <w:numPr>
        <w:ilvl w:val="7"/>
        <w:numId w:val="4"/>
      </w:numPr>
      <w:spacing w:before="40" w:line="259" w:lineRule="auto"/>
      <w:outlineLvl w:val="7"/>
    </w:pPr>
    <w:rPr>
      <w:rFonts w:asciiTheme="majorHAnsi" w:eastAsiaTheme="majorEastAsia" w:hAnsiTheme="majorHAnsi" w:cstheme="majorBidi"/>
      <w:color w:val="272727" w:themeColor="text1" w:themeTint="D8"/>
      <w:sz w:val="21"/>
      <w:szCs w:val="21"/>
      <w:lang w:val="en-CA"/>
    </w:rPr>
  </w:style>
  <w:style w:type="paragraph" w:styleId="berschrift9">
    <w:name w:val="heading 9"/>
    <w:basedOn w:val="Standard"/>
    <w:next w:val="Standard"/>
    <w:link w:val="berschrift9Zchn"/>
    <w:uiPriority w:val="9"/>
    <w:semiHidden/>
    <w:unhideWhenUsed/>
    <w:qFormat/>
    <w:rsid w:val="00872A4B"/>
    <w:pPr>
      <w:keepNext/>
      <w:keepLines/>
      <w:numPr>
        <w:ilvl w:val="8"/>
        <w:numId w:val="4"/>
      </w:numPr>
      <w:spacing w:before="40" w:line="259" w:lineRule="auto"/>
      <w:outlineLvl w:val="8"/>
    </w:pPr>
    <w:rPr>
      <w:rFonts w:asciiTheme="majorHAnsi" w:eastAsiaTheme="majorEastAsia" w:hAnsiTheme="majorHAnsi" w:cstheme="majorBidi"/>
      <w:i/>
      <w:iCs/>
      <w:color w:val="272727" w:themeColor="text1" w:themeTint="D8"/>
      <w:sz w:val="21"/>
      <w:szCs w:val="21"/>
      <w:lang w:val="en-C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istory">
    <w:name w:val="History"/>
    <w:basedOn w:val="Standard"/>
    <w:rsid w:val="005B291B"/>
    <w:pPr>
      <w:spacing w:before="230" w:after="460" w:line="180" w:lineRule="exact"/>
      <w:jc w:val="right"/>
    </w:pPr>
    <w:rPr>
      <w:rFonts w:ascii="Arial" w:hAnsi="Arial"/>
      <w:sz w:val="14"/>
      <w:szCs w:val="16"/>
    </w:rPr>
  </w:style>
  <w:style w:type="paragraph" w:customStyle="1" w:styleId="References">
    <w:name w:val="References"/>
    <w:basedOn w:val="Standard"/>
    <w:rsid w:val="005B291B"/>
    <w:pPr>
      <w:spacing w:line="200" w:lineRule="exact"/>
      <w:ind w:left="425" w:hanging="425"/>
    </w:pPr>
    <w:rPr>
      <w:sz w:val="15"/>
      <w:szCs w:val="14"/>
      <w:lang w:val="en-GB"/>
    </w:rPr>
  </w:style>
  <w:style w:type="paragraph" w:customStyle="1" w:styleId="HExperimentalSection">
    <w:name w:val="HExperimental_Section"/>
    <w:basedOn w:val="Standard"/>
    <w:rsid w:val="005B291B"/>
    <w:pPr>
      <w:spacing w:before="460" w:after="230" w:line="230" w:lineRule="atLeast"/>
    </w:pPr>
    <w:rPr>
      <w:i/>
    </w:rPr>
  </w:style>
  <w:style w:type="paragraph" w:customStyle="1" w:styleId="ExperimentalSection">
    <w:name w:val="ExperimentalSection"/>
    <w:basedOn w:val="Standard"/>
    <w:rsid w:val="005B291B"/>
    <w:pPr>
      <w:spacing w:after="240" w:line="200" w:lineRule="exact"/>
      <w:ind w:firstLine="170"/>
    </w:pPr>
    <w:rPr>
      <w:sz w:val="16"/>
      <w:szCs w:val="14"/>
      <w:lang w:val="en-GB"/>
    </w:rPr>
  </w:style>
  <w:style w:type="paragraph" w:customStyle="1" w:styleId="FNB">
    <w:name w:val="FNB"/>
    <w:basedOn w:val="Standard"/>
    <w:link w:val="FNBChar"/>
    <w:rsid w:val="005B291B"/>
    <w:pPr>
      <w:widowControl w:val="0"/>
      <w:spacing w:after="40" w:line="160" w:lineRule="exact"/>
      <w:ind w:left="567" w:right="4434" w:hanging="567"/>
    </w:pPr>
    <w:rPr>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Standard"/>
    <w:rsid w:val="005B291B"/>
  </w:style>
  <w:style w:type="paragraph" w:customStyle="1" w:styleId="TableCaption">
    <w:name w:val="TableCaption"/>
    <w:basedOn w:val="Standard"/>
    <w:rsid w:val="006511FB"/>
    <w:pPr>
      <w:spacing w:after="120" w:line="190" w:lineRule="exact"/>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Standard"/>
    <w:rsid w:val="006511FB"/>
    <w:pPr>
      <w:spacing w:before="230" w:after="460" w:line="190" w:lineRule="exact"/>
    </w:pPr>
    <w:rPr>
      <w:rFonts w:ascii="Arial" w:hAnsi="Arial"/>
      <w:sz w:val="16"/>
      <w:szCs w:val="14"/>
      <w:lang w:val="en-GB"/>
    </w:rPr>
  </w:style>
  <w:style w:type="paragraph" w:styleId="Funotentext">
    <w:name w:val="footnote text"/>
    <w:basedOn w:val="Standard"/>
    <w:next w:val="TFReferencesSection"/>
    <w:semiHidden/>
    <w:rsid w:val="00A170C3"/>
  </w:style>
  <w:style w:type="paragraph" w:customStyle="1" w:styleId="STOE">
    <w:name w:val="STOE"/>
    <w:basedOn w:val="Standard"/>
    <w:link w:val="STOEChar1"/>
    <w:rsid w:val="00D81375"/>
    <w:pPr>
      <w:widowControl w:val="0"/>
      <w:spacing w:line="236" w:lineRule="exact"/>
      <w:ind w:right="4434"/>
    </w:pPr>
    <w:rPr>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Sprechblasentext">
    <w:name w:val="Balloon Text"/>
    <w:basedOn w:val="Standard"/>
    <w:link w:val="SprechblasentextZchn"/>
    <w:semiHidden/>
    <w:rsid w:val="00A170C3"/>
    <w:rPr>
      <w:rFonts w:ascii="Tahoma" w:hAnsi="Tahoma" w:cs="Tahoma"/>
      <w:sz w:val="16"/>
      <w:szCs w:val="16"/>
    </w:rPr>
  </w:style>
  <w:style w:type="paragraph" w:styleId="Kopfzeile">
    <w:name w:val="header"/>
    <w:basedOn w:val="Standard"/>
    <w:link w:val="KopfzeileZchn"/>
    <w:uiPriority w:val="99"/>
    <w:rsid w:val="00881456"/>
    <w:pPr>
      <w:tabs>
        <w:tab w:val="center" w:pos="4536"/>
        <w:tab w:val="right" w:pos="9072"/>
      </w:tabs>
    </w:pPr>
    <w:rPr>
      <w:lang w:val="x-none"/>
    </w:rPr>
  </w:style>
  <w:style w:type="paragraph" w:styleId="Fuzeile">
    <w:name w:val="footer"/>
    <w:basedOn w:val="Standard"/>
    <w:link w:val="FuzeileZchn"/>
    <w:rsid w:val="00A170C3"/>
    <w:pPr>
      <w:tabs>
        <w:tab w:val="center" w:pos="4320"/>
        <w:tab w:val="right" w:pos="8640"/>
      </w:tabs>
    </w:pPr>
  </w:style>
  <w:style w:type="paragraph" w:customStyle="1" w:styleId="Title1">
    <w:name w:val="Title1"/>
    <w:basedOn w:val="Standard"/>
    <w:rsid w:val="00004A23"/>
    <w:rPr>
      <w:b/>
    </w:rPr>
  </w:style>
  <w:style w:type="paragraph" w:customStyle="1" w:styleId="AuthorsFull">
    <w:name w:val="Authors Full"/>
    <w:basedOn w:val="Standard"/>
    <w:rsid w:val="00004A23"/>
    <w:rPr>
      <w:i/>
    </w:rPr>
  </w:style>
  <w:style w:type="paragraph" w:customStyle="1" w:styleId="dedication">
    <w:name w:val="dedication"/>
    <w:basedOn w:val="Standard"/>
    <w:rsid w:val="00004A23"/>
    <w:rPr>
      <w:i/>
    </w:rPr>
  </w:style>
  <w:style w:type="paragraph" w:customStyle="1" w:styleId="Addresses">
    <w:name w:val="Addresses"/>
    <w:basedOn w:val="Standard"/>
    <w:rsid w:val="00004A23"/>
  </w:style>
  <w:style w:type="paragraph" w:customStyle="1" w:styleId="Acknowledgements">
    <w:name w:val="Acknowledgements"/>
    <w:basedOn w:val="Standard"/>
    <w:rsid w:val="00004A23"/>
  </w:style>
  <w:style w:type="paragraph" w:customStyle="1" w:styleId="Abstract">
    <w:name w:val="Abstract"/>
    <w:basedOn w:val="Standard"/>
    <w:autoRedefine/>
    <w:rsid w:val="00004A23"/>
    <w:pPr>
      <w:spacing w:line="480" w:lineRule="auto"/>
    </w:pPr>
  </w:style>
  <w:style w:type="paragraph" w:customStyle="1" w:styleId="Head1">
    <w:name w:val="Head 1"/>
    <w:basedOn w:val="Standard"/>
    <w:autoRedefine/>
    <w:rsid w:val="00004A23"/>
    <w:pPr>
      <w:spacing w:line="360" w:lineRule="auto"/>
    </w:pPr>
    <w:rPr>
      <w:b/>
    </w:rPr>
  </w:style>
  <w:style w:type="paragraph" w:customStyle="1" w:styleId="Head2">
    <w:name w:val="Head 2"/>
    <w:basedOn w:val="Standard"/>
    <w:autoRedefine/>
    <w:rsid w:val="00004A23"/>
    <w:pPr>
      <w:spacing w:line="360" w:lineRule="auto"/>
    </w:pPr>
    <w:rPr>
      <w:i/>
    </w:rPr>
  </w:style>
  <w:style w:type="paragraph" w:customStyle="1" w:styleId="dates">
    <w:name w:val="dates"/>
    <w:basedOn w:val="Standard"/>
    <w:rsid w:val="00004A23"/>
    <w:pPr>
      <w:jc w:val="right"/>
    </w:pPr>
  </w:style>
  <w:style w:type="paragraph" w:customStyle="1" w:styleId="Literature">
    <w:name w:val="Literature"/>
    <w:basedOn w:val="Standard"/>
    <w:rsid w:val="00004A23"/>
    <w:pPr>
      <w:spacing w:line="480" w:lineRule="auto"/>
    </w:pPr>
  </w:style>
  <w:style w:type="paragraph" w:customStyle="1" w:styleId="Legend">
    <w:name w:val="Legend"/>
    <w:basedOn w:val="Standard"/>
    <w:rsid w:val="00004A23"/>
  </w:style>
  <w:style w:type="paragraph" w:customStyle="1" w:styleId="MainText">
    <w:name w:val="Main Text"/>
    <w:basedOn w:val="Standard"/>
    <w:link w:val="MainTextChar"/>
    <w:rsid w:val="00004A23"/>
    <w:pPr>
      <w:spacing w:line="480" w:lineRule="auto"/>
    </w:pPr>
  </w:style>
  <w:style w:type="paragraph" w:customStyle="1" w:styleId="Tableofcontents">
    <w:name w:val="Table of contents"/>
    <w:basedOn w:val="Standard"/>
    <w:autoRedefine/>
    <w:rsid w:val="00004A23"/>
  </w:style>
  <w:style w:type="paragraph" w:customStyle="1" w:styleId="ExperimentalText">
    <w:name w:val="Experimental Text"/>
    <w:basedOn w:val="Standard"/>
    <w:link w:val="ExperimentalTextChar"/>
    <w:rsid w:val="00004A23"/>
    <w:pPr>
      <w:spacing w:line="480" w:lineRule="auto"/>
    </w:p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Standard"/>
    <w:rsid w:val="002D16A0"/>
    <w:rPr>
      <w:b/>
    </w:rPr>
  </w:style>
  <w:style w:type="paragraph" w:customStyle="1" w:styleId="Dedication0">
    <w:name w:val="Dedication"/>
    <w:basedOn w:val="Standard"/>
    <w:autoRedefine/>
    <w:rsid w:val="00322D5B"/>
  </w:style>
  <w:style w:type="paragraph" w:customStyle="1" w:styleId="Maintext0">
    <w:name w:val="Main text"/>
    <w:basedOn w:val="Standard"/>
    <w:link w:val="MaintextChar0"/>
    <w:autoRedefine/>
    <w:rsid w:val="0019723B"/>
    <w:pPr>
      <w:spacing w:line="480" w:lineRule="auto"/>
    </w:p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Standard"/>
    <w:autoRedefine/>
    <w:rsid w:val="00562E2B"/>
    <w:rPr>
      <w:i/>
    </w:rPr>
  </w:style>
  <w:style w:type="character" w:customStyle="1" w:styleId="KopfzeileZchn">
    <w:name w:val="Kopfzeile Zchn"/>
    <w:link w:val="Kopfzeile"/>
    <w:uiPriority w:val="99"/>
    <w:rsid w:val="00414465"/>
    <w:rPr>
      <w:sz w:val="24"/>
      <w:szCs w:val="24"/>
      <w:lang w:eastAsia="ja-JP"/>
    </w:rPr>
  </w:style>
  <w:style w:type="character" w:styleId="Kommentarzeichen">
    <w:name w:val="annotation reference"/>
    <w:uiPriority w:val="99"/>
    <w:semiHidden/>
    <w:unhideWhenUsed/>
    <w:rsid w:val="00664F6D"/>
    <w:rPr>
      <w:sz w:val="16"/>
      <w:szCs w:val="16"/>
    </w:rPr>
  </w:style>
  <w:style w:type="paragraph" w:styleId="Kommentartext">
    <w:name w:val="annotation text"/>
    <w:basedOn w:val="Standard"/>
    <w:link w:val="KommentartextZchn"/>
    <w:uiPriority w:val="99"/>
    <w:semiHidden/>
    <w:unhideWhenUsed/>
    <w:rsid w:val="00664F6D"/>
    <w:rPr>
      <w:sz w:val="20"/>
      <w:lang w:val="x-none"/>
    </w:rPr>
  </w:style>
  <w:style w:type="character" w:customStyle="1" w:styleId="KommentartextZchn">
    <w:name w:val="Kommentartext Zchn"/>
    <w:link w:val="Kommentartext"/>
    <w:uiPriority w:val="99"/>
    <w:semiHidden/>
    <w:rsid w:val="00664F6D"/>
    <w:rPr>
      <w:lang w:eastAsia="ja-JP"/>
    </w:rPr>
  </w:style>
  <w:style w:type="paragraph" w:styleId="Kommentarthema">
    <w:name w:val="annotation subject"/>
    <w:basedOn w:val="Kommentartext"/>
    <w:next w:val="Kommentartext"/>
    <w:link w:val="KommentarthemaZchn"/>
    <w:uiPriority w:val="99"/>
    <w:semiHidden/>
    <w:unhideWhenUsed/>
    <w:rsid w:val="00664F6D"/>
    <w:rPr>
      <w:b/>
      <w:bCs/>
    </w:rPr>
  </w:style>
  <w:style w:type="character" w:customStyle="1" w:styleId="KommentarthemaZchn">
    <w:name w:val="Kommentarthema Zchn"/>
    <w:link w:val="Kommentarthema"/>
    <w:uiPriority w:val="99"/>
    <w:semiHidden/>
    <w:rsid w:val="00664F6D"/>
    <w:rPr>
      <w:b/>
      <w:bCs/>
      <w:lang w:eastAsia="ja-JP"/>
    </w:rPr>
  </w:style>
  <w:style w:type="character" w:customStyle="1" w:styleId="FuzeileZchn">
    <w:name w:val="Fußzeile Zchn"/>
    <w:link w:val="Fuzeile"/>
    <w:rsid w:val="007B7A09"/>
    <w:rPr>
      <w:rFonts w:ascii="Times" w:eastAsia="Times New Roman" w:hAnsi="Times"/>
      <w:sz w:val="24"/>
      <w:lang w:val="en-US" w:eastAsia="en-US"/>
    </w:rPr>
  </w:style>
  <w:style w:type="character" w:customStyle="1" w:styleId="berschrift1Zchn">
    <w:name w:val="Überschrift 1 Zchn"/>
    <w:basedOn w:val="Absatz-Standardschriftart"/>
    <w:link w:val="berschrift1"/>
    <w:uiPriority w:val="9"/>
    <w:rsid w:val="000A61C9"/>
    <w:rPr>
      <w:rFonts w:eastAsiaTheme="majorEastAsia" w:cstheme="majorBidi"/>
      <w:b/>
      <w:caps/>
      <w:color w:val="000000" w:themeColor="text1"/>
      <w:sz w:val="32"/>
      <w:szCs w:val="32"/>
      <w:lang w:val="en-CA" w:eastAsia="en-US"/>
    </w:rPr>
  </w:style>
  <w:style w:type="character" w:customStyle="1" w:styleId="berschrift2Zchn">
    <w:name w:val="Überschrift 2 Zchn"/>
    <w:basedOn w:val="Absatz-Standardschriftart"/>
    <w:link w:val="berschrift2"/>
    <w:uiPriority w:val="9"/>
    <w:rsid w:val="00872A4B"/>
    <w:rPr>
      <w:rFonts w:eastAsiaTheme="majorEastAsia" w:cstheme="majorBidi"/>
      <w:b/>
      <w:color w:val="000000" w:themeColor="text1"/>
      <w:sz w:val="28"/>
      <w:szCs w:val="26"/>
      <w:lang w:val="en-CA" w:eastAsia="en-US"/>
    </w:rPr>
  </w:style>
  <w:style w:type="character" w:customStyle="1" w:styleId="berschrift3Zchn">
    <w:name w:val="Überschrift 3 Zchn"/>
    <w:basedOn w:val="Absatz-Standardschriftart"/>
    <w:link w:val="berschrift3"/>
    <w:uiPriority w:val="9"/>
    <w:rsid w:val="00872A4B"/>
    <w:rPr>
      <w:rFonts w:asciiTheme="majorHAnsi" w:eastAsiaTheme="majorEastAsia" w:hAnsiTheme="majorHAnsi" w:cstheme="majorBidi"/>
      <w:color w:val="1F3763" w:themeColor="accent1" w:themeShade="7F"/>
      <w:sz w:val="24"/>
      <w:szCs w:val="24"/>
      <w:lang w:val="en-CA" w:eastAsia="en-US"/>
    </w:rPr>
  </w:style>
  <w:style w:type="character" w:customStyle="1" w:styleId="berschrift4Zchn">
    <w:name w:val="Überschrift 4 Zchn"/>
    <w:basedOn w:val="Absatz-Standardschriftart"/>
    <w:link w:val="berschrift4"/>
    <w:uiPriority w:val="9"/>
    <w:semiHidden/>
    <w:rsid w:val="00872A4B"/>
    <w:rPr>
      <w:rFonts w:asciiTheme="majorHAnsi" w:eastAsiaTheme="majorEastAsia" w:hAnsiTheme="majorHAnsi" w:cstheme="majorBidi"/>
      <w:i/>
      <w:iCs/>
      <w:color w:val="2F5496" w:themeColor="accent1" w:themeShade="BF"/>
      <w:sz w:val="22"/>
      <w:szCs w:val="22"/>
      <w:lang w:val="en-CA" w:eastAsia="en-US"/>
    </w:rPr>
  </w:style>
  <w:style w:type="character" w:customStyle="1" w:styleId="berschrift5Zchn">
    <w:name w:val="Überschrift 5 Zchn"/>
    <w:basedOn w:val="Absatz-Standardschriftart"/>
    <w:link w:val="berschrift5"/>
    <w:uiPriority w:val="9"/>
    <w:semiHidden/>
    <w:rsid w:val="00872A4B"/>
    <w:rPr>
      <w:rFonts w:asciiTheme="majorHAnsi" w:eastAsiaTheme="majorEastAsia" w:hAnsiTheme="majorHAnsi" w:cstheme="majorBidi"/>
      <w:color w:val="2F5496" w:themeColor="accent1" w:themeShade="BF"/>
      <w:sz w:val="22"/>
      <w:szCs w:val="22"/>
      <w:lang w:val="en-CA" w:eastAsia="en-US"/>
    </w:rPr>
  </w:style>
  <w:style w:type="character" w:customStyle="1" w:styleId="berschrift6Zchn">
    <w:name w:val="Überschrift 6 Zchn"/>
    <w:basedOn w:val="Absatz-Standardschriftart"/>
    <w:link w:val="berschrift6"/>
    <w:uiPriority w:val="9"/>
    <w:semiHidden/>
    <w:rsid w:val="00872A4B"/>
    <w:rPr>
      <w:rFonts w:asciiTheme="majorHAnsi" w:eastAsiaTheme="majorEastAsia" w:hAnsiTheme="majorHAnsi" w:cstheme="majorBidi"/>
      <w:color w:val="1F3763" w:themeColor="accent1" w:themeShade="7F"/>
      <w:sz w:val="22"/>
      <w:szCs w:val="22"/>
      <w:lang w:val="en-CA" w:eastAsia="en-US"/>
    </w:rPr>
  </w:style>
  <w:style w:type="character" w:customStyle="1" w:styleId="berschrift7Zchn">
    <w:name w:val="Überschrift 7 Zchn"/>
    <w:basedOn w:val="Absatz-Standardschriftart"/>
    <w:link w:val="berschrift7"/>
    <w:uiPriority w:val="9"/>
    <w:semiHidden/>
    <w:rsid w:val="00872A4B"/>
    <w:rPr>
      <w:rFonts w:asciiTheme="majorHAnsi" w:eastAsiaTheme="majorEastAsia" w:hAnsiTheme="majorHAnsi" w:cstheme="majorBidi"/>
      <w:i/>
      <w:iCs/>
      <w:color w:val="1F3763" w:themeColor="accent1" w:themeShade="7F"/>
      <w:sz w:val="22"/>
      <w:szCs w:val="22"/>
      <w:lang w:val="en-CA" w:eastAsia="en-US"/>
    </w:rPr>
  </w:style>
  <w:style w:type="character" w:customStyle="1" w:styleId="berschrift8Zchn">
    <w:name w:val="Überschrift 8 Zchn"/>
    <w:basedOn w:val="Absatz-Standardschriftart"/>
    <w:link w:val="berschrift8"/>
    <w:uiPriority w:val="9"/>
    <w:semiHidden/>
    <w:rsid w:val="00872A4B"/>
    <w:rPr>
      <w:rFonts w:asciiTheme="majorHAnsi" w:eastAsiaTheme="majorEastAsia" w:hAnsiTheme="majorHAnsi" w:cstheme="majorBidi"/>
      <w:color w:val="272727" w:themeColor="text1" w:themeTint="D8"/>
      <w:sz w:val="21"/>
      <w:szCs w:val="21"/>
      <w:lang w:val="en-CA" w:eastAsia="en-US"/>
    </w:rPr>
  </w:style>
  <w:style w:type="character" w:customStyle="1" w:styleId="berschrift9Zchn">
    <w:name w:val="Überschrift 9 Zchn"/>
    <w:basedOn w:val="Absatz-Standardschriftart"/>
    <w:link w:val="berschrift9"/>
    <w:uiPriority w:val="9"/>
    <w:semiHidden/>
    <w:rsid w:val="00872A4B"/>
    <w:rPr>
      <w:rFonts w:asciiTheme="majorHAnsi" w:eastAsiaTheme="majorEastAsia" w:hAnsiTheme="majorHAnsi" w:cstheme="majorBidi"/>
      <w:i/>
      <w:iCs/>
      <w:color w:val="272727" w:themeColor="text1" w:themeTint="D8"/>
      <w:sz w:val="21"/>
      <w:szCs w:val="21"/>
      <w:lang w:val="en-CA" w:eastAsia="en-US"/>
    </w:rPr>
  </w:style>
  <w:style w:type="paragraph" w:styleId="Listenabsatz">
    <w:name w:val="List Paragraph"/>
    <w:basedOn w:val="Standard"/>
    <w:uiPriority w:val="34"/>
    <w:qFormat/>
    <w:rsid w:val="00872A4B"/>
    <w:pPr>
      <w:spacing w:after="160" w:line="259" w:lineRule="auto"/>
      <w:ind w:left="720"/>
      <w:contextualSpacing/>
    </w:pPr>
    <w:rPr>
      <w:rFonts w:asciiTheme="minorHAnsi" w:eastAsiaTheme="minorHAnsi" w:hAnsiTheme="minorHAnsi" w:cstheme="minorBidi"/>
      <w:sz w:val="22"/>
      <w:szCs w:val="22"/>
      <w:lang w:val="en-CA"/>
    </w:rPr>
  </w:style>
  <w:style w:type="paragraph" w:styleId="KeinLeerraum">
    <w:name w:val="No Spacing"/>
    <w:uiPriority w:val="1"/>
    <w:qFormat/>
    <w:rsid w:val="00872A4B"/>
    <w:rPr>
      <w:rFonts w:asciiTheme="minorHAnsi" w:eastAsiaTheme="minorHAnsi" w:hAnsiTheme="minorHAnsi" w:cstheme="minorBidi"/>
      <w:sz w:val="22"/>
      <w:szCs w:val="22"/>
      <w:lang w:val="en-CA" w:eastAsia="en-US"/>
    </w:rPr>
  </w:style>
  <w:style w:type="table" w:styleId="Tabellenraster">
    <w:name w:val="Table Grid"/>
    <w:basedOn w:val="NormaleTabelle"/>
    <w:uiPriority w:val="39"/>
    <w:rsid w:val="00872A4B"/>
    <w:rPr>
      <w:rFonts w:asciiTheme="minorHAnsi" w:eastAsiaTheme="minorHAnsi" w:hAnsiTheme="minorHAnsi" w:cstheme="minorBid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rechblasentextZchn">
    <w:name w:val="Sprechblasentext Zchn"/>
    <w:basedOn w:val="Absatz-Standardschriftart"/>
    <w:link w:val="Sprechblasentext"/>
    <w:semiHidden/>
    <w:rsid w:val="00872A4B"/>
    <w:rPr>
      <w:rFonts w:ascii="Tahoma" w:eastAsia="Times New Roman" w:hAnsi="Tahoma" w:cs="Tahoma"/>
      <w:sz w:val="16"/>
      <w:szCs w:val="16"/>
      <w:lang w:val="en-US" w:eastAsia="en-US"/>
    </w:rPr>
  </w:style>
  <w:style w:type="character" w:styleId="Hyperlink">
    <w:name w:val="Hyperlink"/>
    <w:rsid w:val="00A170C3"/>
    <w:rPr>
      <w:color w:val="0000FF"/>
      <w:u w:val="single"/>
    </w:rPr>
  </w:style>
  <w:style w:type="paragraph" w:styleId="berarbeitung">
    <w:name w:val="Revision"/>
    <w:hidden/>
    <w:uiPriority w:val="99"/>
    <w:semiHidden/>
    <w:rsid w:val="00872A4B"/>
    <w:rPr>
      <w:rFonts w:asciiTheme="minorHAnsi" w:eastAsiaTheme="minorHAnsi" w:hAnsiTheme="minorHAnsi" w:cstheme="minorBidi"/>
      <w:sz w:val="22"/>
      <w:szCs w:val="22"/>
      <w:lang w:val="en-CA" w:eastAsia="en-US"/>
    </w:rPr>
  </w:style>
  <w:style w:type="character" w:customStyle="1" w:styleId="UnresolvedMention1">
    <w:name w:val="Unresolved Mention1"/>
    <w:basedOn w:val="Absatz-Standardschriftart"/>
    <w:uiPriority w:val="99"/>
    <w:semiHidden/>
    <w:unhideWhenUsed/>
    <w:rsid w:val="00872A4B"/>
    <w:rPr>
      <w:color w:val="605E5C"/>
      <w:shd w:val="clear" w:color="auto" w:fill="E1DFDD"/>
    </w:rPr>
  </w:style>
  <w:style w:type="character" w:styleId="BesuchterLink">
    <w:name w:val="FollowedHyperlink"/>
    <w:rsid w:val="00A170C3"/>
    <w:rPr>
      <w:color w:val="800080"/>
      <w:u w:val="single"/>
    </w:rPr>
  </w:style>
  <w:style w:type="paragraph" w:styleId="Textkrper">
    <w:name w:val="Body Text"/>
    <w:basedOn w:val="Standard"/>
    <w:link w:val="TextkrperZchn"/>
    <w:rsid w:val="00A170C3"/>
    <w:pPr>
      <w:jc w:val="center"/>
    </w:pPr>
    <w:rPr>
      <w:b/>
      <w:sz w:val="40"/>
    </w:rPr>
  </w:style>
  <w:style w:type="character" w:customStyle="1" w:styleId="TextkrperZchn">
    <w:name w:val="Textkörper Zchn"/>
    <w:basedOn w:val="Absatz-Standardschriftart"/>
    <w:link w:val="Textkrper"/>
    <w:rsid w:val="00AB0523"/>
    <w:rPr>
      <w:rFonts w:ascii="Times" w:eastAsia="Times New Roman" w:hAnsi="Times"/>
      <w:b/>
      <w:sz w:val="40"/>
      <w:lang w:val="en-US" w:eastAsia="en-US"/>
    </w:rPr>
  </w:style>
  <w:style w:type="paragraph" w:customStyle="1" w:styleId="TFReferencesSection">
    <w:name w:val="TF_References_Section"/>
    <w:basedOn w:val="Standard"/>
    <w:rsid w:val="00A170C3"/>
    <w:pPr>
      <w:spacing w:line="480" w:lineRule="auto"/>
      <w:ind w:firstLine="187"/>
    </w:pPr>
  </w:style>
  <w:style w:type="paragraph" w:customStyle="1" w:styleId="TAMainText">
    <w:name w:val="TA_Main_Text"/>
    <w:basedOn w:val="Standard"/>
    <w:rsid w:val="00A170C3"/>
    <w:pPr>
      <w:spacing w:after="0" w:line="480" w:lineRule="auto"/>
      <w:ind w:firstLine="202"/>
    </w:pPr>
  </w:style>
  <w:style w:type="paragraph" w:customStyle="1" w:styleId="BATitle">
    <w:name w:val="BA_Title"/>
    <w:basedOn w:val="Standard"/>
    <w:next w:val="BBAuthorName"/>
    <w:rsid w:val="00A170C3"/>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rsid w:val="00A170C3"/>
    <w:pPr>
      <w:spacing w:after="240" w:line="480" w:lineRule="auto"/>
      <w:jc w:val="center"/>
    </w:pPr>
    <w:rPr>
      <w:i/>
    </w:rPr>
  </w:style>
  <w:style w:type="paragraph" w:customStyle="1" w:styleId="BCAuthorAddress">
    <w:name w:val="BC_Author_Address"/>
    <w:basedOn w:val="Standard"/>
    <w:next w:val="BIEmailAddress"/>
    <w:rsid w:val="00A170C3"/>
    <w:pPr>
      <w:spacing w:after="240" w:line="480" w:lineRule="auto"/>
      <w:jc w:val="center"/>
    </w:pPr>
  </w:style>
  <w:style w:type="paragraph" w:customStyle="1" w:styleId="BIEmailAddress">
    <w:name w:val="BI_Email_Address"/>
    <w:basedOn w:val="Standard"/>
    <w:next w:val="AIReceivedDate"/>
    <w:rsid w:val="00A170C3"/>
    <w:pPr>
      <w:spacing w:line="480" w:lineRule="auto"/>
    </w:pPr>
  </w:style>
  <w:style w:type="paragraph" w:customStyle="1" w:styleId="AIReceivedDate">
    <w:name w:val="AI_Received_Date"/>
    <w:basedOn w:val="Standard"/>
    <w:next w:val="BDAbstract"/>
    <w:rsid w:val="00A170C3"/>
    <w:pPr>
      <w:spacing w:after="240" w:line="480" w:lineRule="auto"/>
    </w:pPr>
    <w:rPr>
      <w:b/>
    </w:rPr>
  </w:style>
  <w:style w:type="paragraph" w:customStyle="1" w:styleId="BDAbstract">
    <w:name w:val="BD_Abstract"/>
    <w:basedOn w:val="Standard"/>
    <w:next w:val="TAMainText"/>
    <w:rsid w:val="00A170C3"/>
    <w:pPr>
      <w:spacing w:before="360" w:after="360" w:line="480" w:lineRule="auto"/>
    </w:pPr>
  </w:style>
  <w:style w:type="paragraph" w:customStyle="1" w:styleId="TDAcknowledgments">
    <w:name w:val="TD_Acknowledgments"/>
    <w:basedOn w:val="Standard"/>
    <w:next w:val="Standard"/>
    <w:rsid w:val="00A170C3"/>
    <w:pPr>
      <w:spacing w:before="200" w:line="480" w:lineRule="auto"/>
      <w:ind w:firstLine="202"/>
    </w:pPr>
  </w:style>
  <w:style w:type="paragraph" w:customStyle="1" w:styleId="TESupportingInformation">
    <w:name w:val="TE_Supporting_Information"/>
    <w:basedOn w:val="Standard"/>
    <w:next w:val="Standard"/>
    <w:rsid w:val="00A170C3"/>
    <w:pPr>
      <w:spacing w:line="480" w:lineRule="auto"/>
      <w:ind w:firstLine="187"/>
    </w:pPr>
  </w:style>
  <w:style w:type="paragraph" w:customStyle="1" w:styleId="VCSchemeTitle">
    <w:name w:val="VC_Scheme_Title"/>
    <w:basedOn w:val="Standard"/>
    <w:next w:val="Standard"/>
    <w:rsid w:val="00A170C3"/>
    <w:pPr>
      <w:spacing w:line="480" w:lineRule="auto"/>
    </w:pPr>
  </w:style>
  <w:style w:type="paragraph" w:customStyle="1" w:styleId="VDTableTitle">
    <w:name w:val="VD_Table_Title"/>
    <w:basedOn w:val="Standard"/>
    <w:next w:val="Standard"/>
    <w:rsid w:val="00A170C3"/>
    <w:pPr>
      <w:spacing w:line="480" w:lineRule="auto"/>
    </w:pPr>
  </w:style>
  <w:style w:type="paragraph" w:customStyle="1" w:styleId="VAFigureCaption">
    <w:name w:val="VA_Figure_Caption"/>
    <w:basedOn w:val="Standard"/>
    <w:next w:val="Standard"/>
    <w:rsid w:val="00A170C3"/>
    <w:pPr>
      <w:spacing w:line="480" w:lineRule="auto"/>
    </w:pPr>
  </w:style>
  <w:style w:type="paragraph" w:customStyle="1" w:styleId="VBChartTitle">
    <w:name w:val="VB_Chart_Title"/>
    <w:basedOn w:val="Standard"/>
    <w:next w:val="Standard"/>
    <w:rsid w:val="00A170C3"/>
    <w:pPr>
      <w:spacing w:line="480" w:lineRule="auto"/>
    </w:pPr>
  </w:style>
  <w:style w:type="paragraph" w:customStyle="1" w:styleId="FETableFootnote">
    <w:name w:val="FE_Table_Footnote"/>
    <w:basedOn w:val="Standard"/>
    <w:next w:val="Standard"/>
    <w:rsid w:val="00A170C3"/>
    <w:pPr>
      <w:ind w:firstLine="187"/>
    </w:pPr>
  </w:style>
  <w:style w:type="paragraph" w:customStyle="1" w:styleId="FCChartFootnote">
    <w:name w:val="FC_Chart_Footnote"/>
    <w:basedOn w:val="Standard"/>
    <w:next w:val="Standard"/>
    <w:rsid w:val="00A170C3"/>
    <w:pPr>
      <w:ind w:firstLine="187"/>
    </w:pPr>
  </w:style>
  <w:style w:type="paragraph" w:customStyle="1" w:styleId="FDSchemeFootnote">
    <w:name w:val="FD_Scheme_Footnote"/>
    <w:basedOn w:val="Standard"/>
    <w:next w:val="Standard"/>
    <w:rsid w:val="00A170C3"/>
    <w:pPr>
      <w:ind w:firstLine="187"/>
    </w:pPr>
  </w:style>
  <w:style w:type="paragraph" w:customStyle="1" w:styleId="TCTableBody">
    <w:name w:val="TC_Table_Body"/>
    <w:basedOn w:val="Standard"/>
    <w:rsid w:val="00A170C3"/>
  </w:style>
  <w:style w:type="paragraph" w:customStyle="1" w:styleId="AFTitleRunningHead">
    <w:name w:val="AF_Title_Running_Head"/>
    <w:basedOn w:val="Standard"/>
    <w:next w:val="TAMainText"/>
    <w:rsid w:val="00A170C3"/>
    <w:pPr>
      <w:spacing w:line="480" w:lineRule="auto"/>
    </w:pPr>
  </w:style>
  <w:style w:type="paragraph" w:customStyle="1" w:styleId="BEAuthorBiography">
    <w:name w:val="BE_Author_Biography"/>
    <w:basedOn w:val="Standard"/>
    <w:rsid w:val="00A170C3"/>
    <w:pPr>
      <w:spacing w:line="480" w:lineRule="auto"/>
    </w:pPr>
  </w:style>
  <w:style w:type="paragraph" w:customStyle="1" w:styleId="FACorrespondingAuthorFootnote">
    <w:name w:val="FA_Corresponding_Author_Footnote"/>
    <w:basedOn w:val="Standard"/>
    <w:next w:val="TAMainText"/>
    <w:rsid w:val="00A170C3"/>
    <w:pPr>
      <w:spacing w:line="480" w:lineRule="auto"/>
    </w:pPr>
  </w:style>
  <w:style w:type="paragraph" w:customStyle="1" w:styleId="SNSynopsisTOC">
    <w:name w:val="SN_Synopsis_TOC"/>
    <w:basedOn w:val="Standard"/>
    <w:rsid w:val="00A170C3"/>
    <w:pPr>
      <w:spacing w:line="480" w:lineRule="auto"/>
    </w:pPr>
  </w:style>
  <w:style w:type="paragraph" w:customStyle="1" w:styleId="BGKeywords">
    <w:name w:val="BG_Keywords"/>
    <w:basedOn w:val="Standard"/>
    <w:rsid w:val="00A170C3"/>
    <w:pPr>
      <w:spacing w:line="480" w:lineRule="auto"/>
    </w:pPr>
  </w:style>
  <w:style w:type="paragraph" w:customStyle="1" w:styleId="BHBriefs">
    <w:name w:val="BH_Briefs"/>
    <w:basedOn w:val="Standard"/>
    <w:rsid w:val="00A170C3"/>
    <w:pPr>
      <w:spacing w:line="480" w:lineRule="auto"/>
    </w:pPr>
  </w:style>
  <w:style w:type="character" w:styleId="Seitenzahl">
    <w:name w:val="page number"/>
    <w:basedOn w:val="Absatz-Standardschriftart"/>
    <w:rsid w:val="00A170C3"/>
  </w:style>
  <w:style w:type="paragraph" w:customStyle="1" w:styleId="StyleFACorrespondingAuthorFootnote7pt">
    <w:name w:val="Style FA_Corresponding_Author_Footnote + 7 pt"/>
    <w:basedOn w:val="Standard"/>
    <w:next w:val="BGKeywords"/>
    <w:link w:val="StyleFACorrespondingAuthorFootnote7ptChar"/>
    <w:autoRedefine/>
    <w:rsid w:val="00A170C3"/>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A170C3"/>
    <w:rPr>
      <w:rFonts w:ascii="Arno Pro" w:eastAsia="Times New Roman" w:hAnsi="Arno Pro"/>
      <w:kern w:val="20"/>
      <w:sz w:val="18"/>
      <w:lang w:val="en-US" w:eastAsia="en-US"/>
    </w:rPr>
  </w:style>
  <w:style w:type="paragraph" w:customStyle="1" w:styleId="FAAuthorInfoSubtitle">
    <w:name w:val="FA_Author_Info_Subtitle"/>
    <w:basedOn w:val="Standard"/>
    <w:link w:val="FAAuthorInfoSubtitleChar"/>
    <w:autoRedefine/>
    <w:rsid w:val="00A170C3"/>
    <w:pPr>
      <w:spacing w:before="120" w:after="60" w:line="480" w:lineRule="auto"/>
      <w:jc w:val="left"/>
    </w:pPr>
    <w:rPr>
      <w:b/>
    </w:rPr>
  </w:style>
  <w:style w:type="character" w:customStyle="1" w:styleId="FAAuthorInfoSubtitleChar">
    <w:name w:val="FA_Author_Info_Subtitle Char"/>
    <w:link w:val="FAAuthorInfoSubtitle"/>
    <w:rsid w:val="00A170C3"/>
    <w:rPr>
      <w:rFonts w:ascii="Times" w:eastAsia="Times New Roman" w:hAnsi="Times"/>
      <w:b/>
      <w:sz w:val="24"/>
      <w:lang w:val="en-US" w:eastAsia="en-US"/>
    </w:rPr>
  </w:style>
  <w:style w:type="paragraph" w:customStyle="1" w:styleId="Default">
    <w:name w:val="Default"/>
    <w:rsid w:val="00A170C3"/>
    <w:pPr>
      <w:autoSpaceDE w:val="0"/>
      <w:autoSpaceDN w:val="0"/>
      <w:adjustRightInd w:val="0"/>
    </w:pPr>
    <w:rPr>
      <w:rFonts w:ascii="Symbol" w:eastAsia="Times New Roman" w:hAnsi="Symbol" w:cs="Symbol"/>
      <w:color w:val="000000"/>
      <w:sz w:val="24"/>
      <w:szCs w:val="24"/>
      <w:lang w:val="en-US" w:eastAsia="en-US"/>
    </w:rPr>
  </w:style>
  <w:style w:type="paragraph" w:styleId="NurText">
    <w:name w:val="Plain Text"/>
    <w:basedOn w:val="Standard"/>
    <w:link w:val="NurTextZchn"/>
    <w:uiPriority w:val="99"/>
    <w:semiHidden/>
    <w:unhideWhenUsed/>
    <w:rsid w:val="007E3C07"/>
    <w:pPr>
      <w:spacing w:after="0"/>
    </w:pPr>
    <w:rPr>
      <w:rFonts w:ascii="Consolas" w:hAnsi="Consolas"/>
      <w:sz w:val="21"/>
      <w:szCs w:val="21"/>
    </w:rPr>
  </w:style>
  <w:style w:type="character" w:customStyle="1" w:styleId="NurTextZchn">
    <w:name w:val="Nur Text Zchn"/>
    <w:basedOn w:val="Absatz-Standardschriftart"/>
    <w:link w:val="NurText"/>
    <w:uiPriority w:val="99"/>
    <w:semiHidden/>
    <w:rsid w:val="007E3C07"/>
    <w:rPr>
      <w:rFonts w:ascii="Consolas" w:eastAsia="Times New Roman" w:hAnsi="Consolas"/>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18459">
      <w:bodyDiv w:val="1"/>
      <w:marLeft w:val="0"/>
      <w:marRight w:val="0"/>
      <w:marTop w:val="0"/>
      <w:marBottom w:val="0"/>
      <w:divBdr>
        <w:top w:val="none" w:sz="0" w:space="0" w:color="auto"/>
        <w:left w:val="none" w:sz="0" w:space="0" w:color="auto"/>
        <w:bottom w:val="none" w:sz="0" w:space="0" w:color="auto"/>
        <w:right w:val="none" w:sz="0" w:space="0" w:color="auto"/>
      </w:divBdr>
    </w:div>
    <w:div w:id="338240711">
      <w:bodyDiv w:val="1"/>
      <w:marLeft w:val="0"/>
      <w:marRight w:val="0"/>
      <w:marTop w:val="0"/>
      <w:marBottom w:val="0"/>
      <w:divBdr>
        <w:top w:val="none" w:sz="0" w:space="0" w:color="auto"/>
        <w:left w:val="none" w:sz="0" w:space="0" w:color="auto"/>
        <w:bottom w:val="none" w:sz="0" w:space="0" w:color="auto"/>
        <w:right w:val="none" w:sz="0" w:space="0" w:color="auto"/>
      </w:divBdr>
    </w:div>
    <w:div w:id="1174881172">
      <w:bodyDiv w:val="1"/>
      <w:marLeft w:val="0"/>
      <w:marRight w:val="0"/>
      <w:marTop w:val="0"/>
      <w:marBottom w:val="0"/>
      <w:divBdr>
        <w:top w:val="none" w:sz="0" w:space="0" w:color="auto"/>
        <w:left w:val="none" w:sz="0" w:space="0" w:color="auto"/>
        <w:bottom w:val="none" w:sz="0" w:space="0" w:color="auto"/>
        <w:right w:val="none" w:sz="0" w:space="0" w:color="auto"/>
      </w:divBdr>
    </w:div>
    <w:div w:id="1762988071">
      <w:bodyDiv w:val="1"/>
      <w:marLeft w:val="0"/>
      <w:marRight w:val="0"/>
      <w:marTop w:val="0"/>
      <w:marBottom w:val="0"/>
      <w:divBdr>
        <w:top w:val="none" w:sz="0" w:space="0" w:color="auto"/>
        <w:left w:val="none" w:sz="0" w:space="0" w:color="auto"/>
        <w:bottom w:val="none" w:sz="0" w:space="0" w:color="auto"/>
        <w:right w:val="none" w:sz="0" w:space="0" w:color="auto"/>
      </w:divBdr>
    </w:div>
    <w:div w:id="2050642683">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image" Target="media/image14.tiff"/><Relationship Id="rId3" Type="http://schemas.openxmlformats.org/officeDocument/2006/relationships/customXml" Target="../customXml/item3.xml"/><Relationship Id="rId21" Type="http://schemas.openxmlformats.org/officeDocument/2006/relationships/image" Target="media/image9.tif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tiff"/><Relationship Id="rId25" Type="http://schemas.openxmlformats.org/officeDocument/2006/relationships/image" Target="media/image13.tif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tiff"/><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image" Target="media/image11.tiff"/><Relationship Id="rId28" Type="http://schemas.openxmlformats.org/officeDocument/2006/relationships/image" Target="media/image16.tiff"/><Relationship Id="rId10" Type="http://schemas.openxmlformats.org/officeDocument/2006/relationships/footnotes" Target="footnotes.xml"/><Relationship Id="rId19" Type="http://schemas.openxmlformats.org/officeDocument/2006/relationships/image" Target="media/image7.tif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tiff"/><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G:\PAPER%20OCTOBER%202022\Applied%20Materials%20and%20Interfaces\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8BEAF299BAD5C443B7B94D359352909D" ma:contentTypeVersion="13" ma:contentTypeDescription="Create a new document." ma:contentTypeScope="" ma:versionID="4842a0b491ceedf1f2e6e3ca3ac6584c">
  <xsd:schema xmlns:xsd="http://www.w3.org/2001/XMLSchema" xmlns:xs="http://www.w3.org/2001/XMLSchema" xmlns:p="http://schemas.microsoft.com/office/2006/metadata/properties" xmlns:ns3="0c4992ee-a5fe-4357-9f94-bbd1fb75d23e" xmlns:ns4="0557a493-af67-429d-80c7-3ec9377d9df9" targetNamespace="http://schemas.microsoft.com/office/2006/metadata/properties" ma:root="true" ma:fieldsID="dbf8565a9e5a1fa3854d2b8dcd16ed82" ns3:_="" ns4:_="">
    <xsd:import namespace="0c4992ee-a5fe-4357-9f94-bbd1fb75d23e"/>
    <xsd:import namespace="0557a493-af67-429d-80c7-3ec9377d9d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992ee-a5fe-4357-9f94-bbd1fb75d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7a493-af67-429d-80c7-3ec9377d9d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B8192239-4E04-4947-A5C7-BA669B314882}">
  <ds:schemaRefs>
    <ds:schemaRef ds:uri="http://schemas.openxmlformats.org/officeDocument/2006/bibliography"/>
  </ds:schemaRefs>
</ds:datastoreItem>
</file>

<file path=customXml/itemProps5.xml><?xml version="1.0" encoding="utf-8"?>
<ds:datastoreItem xmlns:ds="http://schemas.openxmlformats.org/officeDocument/2006/customXml" ds:itemID="{8BFE695C-2F88-4CE8-8E6E-7A5663333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992ee-a5fe-4357-9f94-bbd1fb75d23e"/>
    <ds:schemaRef ds:uri="0557a493-af67-429d-80c7-3ec9377d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Manuscript.dotx</Template>
  <TotalTime>0</TotalTime>
  <Pages>38</Pages>
  <Words>26180</Words>
  <Characters>149232</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2022-12-21T20:31:00Z</dcterms:created>
  <dcterms:modified xsi:type="dcterms:W3CDTF">2023-01-11T09:00:00Z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0x0101008BEAF299BAD5C443B7B94D359352909D</vt:lpwstr>
  </property>
</Properties>
</file>